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597"/>
      <w:bookmarkStart w:id="3" w:name="_Toc15396475"/>
      <w:bookmarkStart w:id="4" w:name="_Toc15378441"/>
      <w:bookmarkStart w:id="5" w:name="_Toc15377425"/>
      <w:r>
        <w:rPr>
          <w:rFonts w:ascii="黑体" w:hAnsi="黑体" w:eastAsia="黑体"/>
          <w:color w:val="000000"/>
          <w:sz w:val="72"/>
          <w:szCs w:val="72"/>
        </w:rPr>
        <w:t>20</w:t>
      </w:r>
      <w:r>
        <w:rPr>
          <w:rFonts w:hint="eastAsia" w:ascii="黑体" w:hAnsi="黑体" w:eastAsia="黑体"/>
          <w:color w:val="000000"/>
          <w:sz w:val="72"/>
          <w:szCs w:val="72"/>
        </w:rPr>
        <w:t>20</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78442"/>
      <w:bookmarkStart w:id="8" w:name="_Toc15396598"/>
      <w:bookmarkStart w:id="9" w:name="_Toc15377194"/>
      <w:bookmarkStart w:id="10" w:name="_Toc15396476"/>
      <w:r>
        <w:rPr>
          <w:rFonts w:hint="eastAsia" w:ascii="方正小标宋简体" w:hAnsi="宋体" w:eastAsia="方正小标宋简体"/>
          <w:color w:val="000000"/>
          <w:sz w:val="72"/>
          <w:szCs w:val="72"/>
        </w:rPr>
        <w:t>四川省</w:t>
      </w:r>
      <w:bookmarkStart w:id="11" w:name="_Toc15306268"/>
      <w:r>
        <w:rPr>
          <w:rFonts w:hint="eastAsia" w:ascii="方正小标宋简体" w:hAnsi="宋体" w:eastAsia="方正小标宋简体"/>
          <w:color w:val="000000"/>
          <w:sz w:val="72"/>
          <w:szCs w:val="72"/>
        </w:rPr>
        <w:t>省级机关国有资产管理中心部门决算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r>
        <w:rPr>
          <w:rFonts w:hint="eastAsia" w:ascii="方正小标宋简体" w:hAnsi="宋体" w:eastAsia="方正小标宋简体"/>
          <w:sz w:val="52"/>
          <w:szCs w:val="52"/>
        </w:rPr>
        <w:t>(单位公开范本)</w:t>
      </w:r>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spacing w:line="600" w:lineRule="exact"/>
        <w:jc w:val="center"/>
        <w:rPr>
          <w:rFonts w:ascii="黑体" w:hAnsi="黑体" w:eastAsia="黑体"/>
          <w:sz w:val="48"/>
          <w:szCs w:val="48"/>
        </w:rPr>
      </w:pPr>
      <w:r>
        <w:rPr>
          <w:rFonts w:ascii="方正小标宋简体" w:hAnsi="宋体" w:eastAsia="方正小标宋简体"/>
          <w:color w:val="000000"/>
          <w:sz w:val="36"/>
          <w:szCs w:val="36"/>
        </w:rPr>
        <w:br w:type="page"/>
      </w:r>
      <w:bookmarkStart w:id="12" w:name="_Toc15396599"/>
      <w:bookmarkStart w:id="13" w:name="_Toc15377196"/>
      <w:r>
        <w:rPr>
          <w:rFonts w:hint="eastAsia" w:ascii="黑体" w:hAnsi="黑体" w:eastAsia="黑体"/>
          <w:sz w:val="48"/>
          <w:szCs w:val="48"/>
        </w:rPr>
        <w:t>目录</w:t>
      </w:r>
    </w:p>
    <w:p>
      <w:pPr>
        <w:widowControl/>
        <w:jc w:val="center"/>
        <w:rPr>
          <w:rFonts w:ascii="仿宋_GB2312" w:hAnsi="仿宋_GB2312" w:eastAsia="仿宋_GB2312" w:cs="仿宋_GB2312"/>
          <w:sz w:val="32"/>
          <w:szCs w:val="32"/>
        </w:rPr>
      </w:pPr>
    </w:p>
    <w:p>
      <w:pPr>
        <w:pStyle w:val="1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公开时间：</w:t>
      </w:r>
      <w:r>
        <w:rPr>
          <w:rFonts w:hint="eastAsia" w:ascii="Times New Roman" w:hAnsi="Times New Roman" w:eastAsia="仿宋_GB2312"/>
          <w:spacing w:val="-20"/>
          <w:sz w:val="32"/>
          <w:szCs w:val="32"/>
        </w:rPr>
        <w:t>2021</w:t>
      </w:r>
      <w:r>
        <w:rPr>
          <w:rFonts w:hint="eastAsia" w:ascii="仿宋_GB2312" w:hAnsi="仿宋_GB2312" w:eastAsia="仿宋_GB2312" w:cs="仿宋_GB2312"/>
          <w:sz w:val="32"/>
          <w:szCs w:val="32"/>
        </w:rPr>
        <w:t>年</w:t>
      </w:r>
      <w:r>
        <w:rPr>
          <w:rFonts w:hint="eastAsia" w:ascii="Times New Roman" w:hAnsi="Times New Roman" w:eastAsia="仿宋_GB2312"/>
          <w:spacing w:val="-20"/>
          <w:sz w:val="32"/>
          <w:szCs w:val="32"/>
        </w:rPr>
        <w:t>9</w:t>
      </w:r>
      <w:r>
        <w:rPr>
          <w:rFonts w:hint="eastAsia" w:ascii="仿宋_GB2312" w:hAnsi="仿宋_GB2312" w:eastAsia="仿宋_GB2312" w:cs="仿宋_GB2312"/>
          <w:sz w:val="32"/>
          <w:szCs w:val="32"/>
        </w:rPr>
        <w:t>月</w:t>
      </w:r>
      <w:r>
        <w:rPr>
          <w:rFonts w:hint="eastAsia" w:ascii="Times New Roman" w:hAnsi="Times New Roman" w:eastAsia="仿宋_GB2312"/>
          <w:spacing w:val="-20"/>
          <w:sz w:val="32"/>
          <w:szCs w:val="32"/>
        </w:rPr>
        <w:t>10</w:t>
      </w:r>
      <w:r>
        <w:rPr>
          <w:rFonts w:hint="eastAsia" w:ascii="仿宋_GB2312" w:hAnsi="仿宋_GB2312" w:eastAsia="仿宋_GB2312" w:cs="仿宋_GB2312"/>
          <w:sz w:val="32"/>
          <w:szCs w:val="32"/>
        </w:rPr>
        <w:t>日</w:t>
      </w:r>
    </w:p>
    <w:p>
      <w:pPr>
        <w:spacing w:line="560" w:lineRule="exact"/>
        <w:rPr>
          <w:rFonts w:ascii="仿宋_GB2312" w:hAnsi="仿宋_GB2312" w:eastAsia="仿宋_GB2312" w:cs="仿宋_GB2312"/>
          <w:sz w:val="32"/>
          <w:szCs w:val="32"/>
        </w:rPr>
      </w:pPr>
    </w:p>
    <w:p>
      <w:pPr>
        <w:pStyle w:val="10"/>
        <w:adjustRightInd w:val="0"/>
        <w:snapToGrid w:val="0"/>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第一部分 单位概况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4</w:t>
      </w:r>
    </w:p>
    <w:p>
      <w:pPr>
        <w:pStyle w:val="11"/>
        <w:adjustRightInd w:val="0"/>
        <w:snapToGrid w:val="0"/>
        <w:spacing w:line="560" w:lineRule="exact"/>
        <w:jc w:val="left"/>
        <w:rPr>
          <w:rFonts w:ascii="仿宋" w:hAnsi="仿宋" w:eastAsia="仿宋" w:cs="仿宋_GB2312"/>
          <w:sz w:val="32"/>
          <w:szCs w:val="32"/>
        </w:rPr>
      </w:pPr>
      <w:r>
        <w:rPr>
          <w:rFonts w:hint="eastAsia" w:ascii="仿宋" w:hAnsi="仿宋" w:eastAsia="仿宋" w:cs="仿宋_GB2312"/>
          <w:sz w:val="32"/>
          <w:szCs w:val="32"/>
        </w:rPr>
        <w:t>一、职能简介</w:t>
      </w:r>
      <w:r>
        <w:rPr>
          <w:rFonts w:hint="eastAsia" w:ascii="仿宋" w:hAnsi="仿宋" w:eastAsia="仿宋" w:cs="仿宋_GB2312"/>
          <w:sz w:val="32"/>
          <w:szCs w:val="32"/>
        </w:rPr>
        <w:tab/>
      </w:r>
      <w:r>
        <w:rPr>
          <w:rFonts w:hint="eastAsia" w:ascii="仿宋" w:hAnsi="仿宋" w:eastAsia="仿宋" w:cs="仿宋_GB2312"/>
          <w:sz w:val="32"/>
          <w:szCs w:val="32"/>
        </w:rPr>
        <w:t>4</w:t>
      </w:r>
    </w:p>
    <w:p>
      <w:pPr>
        <w:pStyle w:val="11"/>
        <w:adjustRightInd w:val="0"/>
        <w:snapToGrid w:val="0"/>
        <w:spacing w:line="560" w:lineRule="exact"/>
        <w:jc w:val="left"/>
        <w:rPr>
          <w:rFonts w:hint="eastAsia" w:ascii="仿宋" w:hAnsi="仿宋" w:eastAsia="仿宋" w:cs="仿宋_GB2312"/>
          <w:sz w:val="32"/>
          <w:szCs w:val="32"/>
        </w:rPr>
      </w:pPr>
      <w:r>
        <w:rPr>
          <w:rFonts w:hint="eastAsia" w:ascii="仿宋" w:hAnsi="仿宋" w:eastAsia="仿宋" w:cs="仿宋_GB2312"/>
          <w:sz w:val="32"/>
          <w:szCs w:val="32"/>
        </w:rPr>
        <w:t>二、</w:t>
      </w:r>
      <w:r>
        <w:rPr>
          <w:rFonts w:hint="eastAsia" w:ascii="仿宋" w:hAnsi="仿宋" w:eastAsia="仿宋"/>
          <w:spacing w:val="-20"/>
          <w:sz w:val="32"/>
          <w:szCs w:val="32"/>
        </w:rPr>
        <w:t>2020</w:t>
      </w:r>
      <w:r>
        <w:rPr>
          <w:rFonts w:hint="eastAsia" w:ascii="仿宋" w:hAnsi="仿宋" w:eastAsia="仿宋" w:cs="仿宋_GB2312"/>
          <w:sz w:val="32"/>
          <w:szCs w:val="32"/>
        </w:rPr>
        <w:t>年重点工作完成情况</w:t>
      </w:r>
      <w:r>
        <w:rPr>
          <w:rFonts w:hint="eastAsia" w:ascii="仿宋" w:hAnsi="仿宋" w:eastAsia="仿宋" w:cs="仿宋_GB2312"/>
          <w:sz w:val="32"/>
          <w:szCs w:val="32"/>
        </w:rPr>
        <w:tab/>
      </w:r>
      <w:r>
        <w:rPr>
          <w:rFonts w:hint="eastAsia" w:ascii="仿宋" w:hAnsi="仿宋" w:eastAsia="仿宋" w:cs="仿宋_GB2312"/>
          <w:sz w:val="32"/>
          <w:szCs w:val="32"/>
        </w:rPr>
        <w:t>4</w:t>
      </w:r>
    </w:p>
    <w:p>
      <w:pPr>
        <w:pStyle w:val="11"/>
        <w:adjustRightInd w:val="0"/>
        <w:snapToGrid w:val="0"/>
        <w:spacing w:line="560" w:lineRule="exact"/>
        <w:jc w:val="left"/>
      </w:pPr>
      <w:r>
        <w:rPr>
          <w:rFonts w:hint="eastAsia" w:ascii="仿宋" w:hAnsi="仿宋" w:eastAsia="仿宋" w:cs="仿宋_GB2312"/>
          <w:sz w:val="32"/>
          <w:szCs w:val="32"/>
          <w:lang w:eastAsia="zh-CN"/>
        </w:rPr>
        <w:t>三</w:t>
      </w:r>
      <w:r>
        <w:rPr>
          <w:rFonts w:hint="eastAsia" w:ascii="仿宋" w:hAnsi="仿宋" w:eastAsia="仿宋" w:cs="仿宋_GB2312"/>
          <w:sz w:val="32"/>
          <w:szCs w:val="32"/>
        </w:rPr>
        <w:t>、</w:t>
      </w:r>
      <w:r>
        <w:rPr>
          <w:rFonts w:hint="eastAsia" w:ascii="仿宋" w:hAnsi="仿宋" w:eastAsia="仿宋"/>
          <w:spacing w:val="-20"/>
          <w:sz w:val="32"/>
          <w:szCs w:val="32"/>
          <w:lang w:eastAsia="zh-CN"/>
        </w:rPr>
        <w:t>机构设置</w:t>
      </w:r>
      <w:r>
        <w:rPr>
          <w:rFonts w:hint="eastAsia" w:ascii="仿宋" w:hAnsi="仿宋" w:eastAsia="仿宋" w:cs="仿宋_GB2312"/>
          <w:sz w:val="32"/>
          <w:szCs w:val="32"/>
        </w:rPr>
        <w:t>情况</w:t>
      </w:r>
      <w:r>
        <w:rPr>
          <w:rFonts w:hint="eastAsia" w:ascii="仿宋" w:hAnsi="仿宋" w:eastAsia="仿宋" w:cs="仿宋_GB2312"/>
          <w:sz w:val="32"/>
          <w:szCs w:val="32"/>
        </w:rPr>
        <w:tab/>
      </w:r>
      <w:r>
        <w:rPr>
          <w:rFonts w:hint="eastAsia" w:ascii="仿宋" w:hAnsi="仿宋" w:eastAsia="仿宋" w:cs="仿宋_GB2312"/>
          <w:sz w:val="32"/>
          <w:szCs w:val="32"/>
        </w:rPr>
        <w:t>4</w:t>
      </w:r>
    </w:p>
    <w:p>
      <w:pPr>
        <w:pStyle w:val="10"/>
        <w:adjustRightInd w:val="0"/>
        <w:snapToGrid w:val="0"/>
        <w:spacing w:before="0"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第二部分 </w:t>
      </w:r>
      <w:r>
        <w:rPr>
          <w:rFonts w:hint="eastAsia" w:ascii="Times New Roman" w:hAnsi="Times New Roman" w:eastAsia="仿宋_GB2312"/>
          <w:spacing w:val="-20"/>
          <w:sz w:val="32"/>
          <w:szCs w:val="32"/>
        </w:rPr>
        <w:t>2020</w:t>
      </w:r>
      <w:r>
        <w:rPr>
          <w:rFonts w:hint="eastAsia" w:ascii="仿宋_GB2312" w:hAnsi="仿宋_GB2312" w:eastAsia="仿宋_GB2312" w:cs="仿宋_GB2312"/>
          <w:sz w:val="32"/>
          <w:szCs w:val="32"/>
        </w:rPr>
        <w:t>年度部门决算情况说明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.7</w:t>
      </w:r>
    </w:p>
    <w:p>
      <w:pPr>
        <w:pStyle w:val="11"/>
        <w:adjustRightInd w:val="0"/>
        <w:snapToGrid w:val="0"/>
        <w:spacing w:line="560" w:lineRule="exact"/>
        <w:jc w:val="left"/>
        <w:rPr>
          <w:rFonts w:ascii="仿宋" w:hAnsi="仿宋" w:eastAsia="仿宋" w:cs="仿宋_GB2312"/>
          <w:sz w:val="32"/>
          <w:szCs w:val="32"/>
        </w:rPr>
      </w:pPr>
      <w:r>
        <w:rPr>
          <w:rFonts w:hint="eastAsia" w:ascii="仿宋" w:hAnsi="仿宋" w:eastAsia="仿宋" w:cs="仿宋_GB2312"/>
          <w:sz w:val="32"/>
          <w:szCs w:val="32"/>
        </w:rPr>
        <w:t>一、收入支出决算总体情况说明</w:t>
      </w:r>
      <w:r>
        <w:rPr>
          <w:rFonts w:hint="eastAsia" w:ascii="仿宋" w:hAnsi="仿宋" w:eastAsia="仿宋" w:cs="仿宋_GB2312"/>
          <w:sz w:val="32"/>
          <w:szCs w:val="32"/>
        </w:rPr>
        <w:tab/>
      </w:r>
      <w:r>
        <w:rPr>
          <w:rFonts w:hint="eastAsia" w:ascii="仿宋" w:hAnsi="仿宋" w:eastAsia="仿宋" w:cs="仿宋_GB2312"/>
          <w:sz w:val="32"/>
          <w:szCs w:val="32"/>
        </w:rPr>
        <w:t>7</w:t>
      </w:r>
    </w:p>
    <w:p>
      <w:pPr>
        <w:pStyle w:val="11"/>
        <w:adjustRightInd w:val="0"/>
        <w:snapToGrid w:val="0"/>
        <w:spacing w:line="560" w:lineRule="exact"/>
        <w:jc w:val="left"/>
        <w:rPr>
          <w:rFonts w:ascii="仿宋" w:hAnsi="仿宋" w:eastAsia="仿宋" w:cs="仿宋_GB2312"/>
          <w:sz w:val="32"/>
          <w:szCs w:val="32"/>
        </w:rPr>
      </w:pPr>
      <w:r>
        <w:rPr>
          <w:rFonts w:hint="eastAsia" w:ascii="仿宋" w:hAnsi="仿宋" w:eastAsia="仿宋" w:cs="仿宋_GB2312"/>
          <w:sz w:val="32"/>
          <w:szCs w:val="32"/>
        </w:rPr>
        <w:t>二、收入决算情况说明</w:t>
      </w:r>
      <w:r>
        <w:rPr>
          <w:rFonts w:hint="eastAsia" w:ascii="仿宋" w:hAnsi="仿宋" w:eastAsia="仿宋" w:cs="仿宋_GB2312"/>
          <w:sz w:val="32"/>
          <w:szCs w:val="32"/>
        </w:rPr>
        <w:tab/>
      </w:r>
      <w:r>
        <w:rPr>
          <w:rFonts w:hint="eastAsia" w:ascii="仿宋" w:hAnsi="仿宋" w:eastAsia="仿宋" w:cs="仿宋_GB2312"/>
          <w:sz w:val="32"/>
          <w:szCs w:val="32"/>
        </w:rPr>
        <w:t>7</w:t>
      </w:r>
    </w:p>
    <w:p>
      <w:pPr>
        <w:pStyle w:val="11"/>
        <w:adjustRightInd w:val="0"/>
        <w:snapToGrid w:val="0"/>
        <w:spacing w:line="560" w:lineRule="exact"/>
        <w:jc w:val="left"/>
        <w:rPr>
          <w:rFonts w:ascii="仿宋" w:hAnsi="仿宋" w:eastAsia="仿宋" w:cs="仿宋_GB2312"/>
          <w:sz w:val="32"/>
          <w:szCs w:val="32"/>
        </w:rPr>
      </w:pPr>
      <w:r>
        <w:rPr>
          <w:rFonts w:hint="eastAsia" w:ascii="仿宋" w:hAnsi="仿宋" w:eastAsia="仿宋" w:cs="仿宋_GB2312"/>
          <w:sz w:val="32"/>
          <w:szCs w:val="32"/>
        </w:rPr>
        <w:t>三、支出决算情况说明</w:t>
      </w:r>
      <w:r>
        <w:rPr>
          <w:rFonts w:hint="eastAsia" w:ascii="仿宋" w:hAnsi="仿宋" w:eastAsia="仿宋" w:cs="仿宋_GB2312"/>
          <w:sz w:val="32"/>
          <w:szCs w:val="32"/>
        </w:rPr>
        <w:tab/>
      </w:r>
      <w:r>
        <w:rPr>
          <w:rFonts w:hint="eastAsia" w:ascii="仿宋" w:hAnsi="仿宋" w:eastAsia="仿宋" w:cs="仿宋_GB2312"/>
          <w:sz w:val="32"/>
          <w:szCs w:val="32"/>
        </w:rPr>
        <w:t>8</w:t>
      </w:r>
    </w:p>
    <w:p>
      <w:pPr>
        <w:pStyle w:val="11"/>
        <w:adjustRightInd w:val="0"/>
        <w:snapToGrid w:val="0"/>
        <w:spacing w:line="560" w:lineRule="exact"/>
        <w:jc w:val="left"/>
        <w:rPr>
          <w:rFonts w:ascii="仿宋" w:hAnsi="仿宋" w:eastAsia="仿宋" w:cs="仿宋_GB2312"/>
          <w:sz w:val="32"/>
          <w:szCs w:val="32"/>
        </w:rPr>
      </w:pPr>
      <w:r>
        <w:rPr>
          <w:rFonts w:hint="eastAsia" w:ascii="仿宋" w:hAnsi="仿宋" w:eastAsia="仿宋" w:cs="仿宋_GB2312"/>
          <w:sz w:val="32"/>
          <w:szCs w:val="32"/>
        </w:rPr>
        <w:t>四、财政拨款收入支出决算总体情况说明</w:t>
      </w:r>
      <w:r>
        <w:rPr>
          <w:rFonts w:hint="eastAsia" w:ascii="仿宋" w:hAnsi="仿宋" w:eastAsia="仿宋" w:cs="仿宋_GB2312"/>
          <w:sz w:val="32"/>
          <w:szCs w:val="32"/>
        </w:rPr>
        <w:tab/>
      </w:r>
      <w:r>
        <w:rPr>
          <w:rFonts w:hint="eastAsia" w:ascii="仿宋" w:hAnsi="仿宋" w:eastAsia="仿宋" w:cs="仿宋_GB2312"/>
          <w:sz w:val="32"/>
          <w:szCs w:val="32"/>
        </w:rPr>
        <w:t>9</w:t>
      </w:r>
    </w:p>
    <w:p>
      <w:pPr>
        <w:pStyle w:val="11"/>
        <w:adjustRightInd w:val="0"/>
        <w:snapToGrid w:val="0"/>
        <w:spacing w:line="560" w:lineRule="exact"/>
        <w:jc w:val="left"/>
        <w:rPr>
          <w:rFonts w:ascii="仿宋" w:hAnsi="仿宋" w:eastAsia="仿宋" w:cs="仿宋_GB2312"/>
          <w:sz w:val="32"/>
          <w:szCs w:val="32"/>
        </w:rPr>
      </w:pPr>
      <w:r>
        <w:rPr>
          <w:rFonts w:hint="eastAsia" w:ascii="仿宋" w:hAnsi="仿宋" w:eastAsia="仿宋" w:cs="仿宋_GB2312"/>
          <w:sz w:val="32"/>
          <w:szCs w:val="32"/>
        </w:rPr>
        <w:t>五、一般公共预算财政拨款支出决算情况说明</w:t>
      </w:r>
      <w:r>
        <w:rPr>
          <w:rFonts w:hint="eastAsia" w:ascii="仿宋" w:hAnsi="仿宋" w:eastAsia="仿宋" w:cs="仿宋_GB2312"/>
          <w:sz w:val="32"/>
          <w:szCs w:val="32"/>
        </w:rPr>
        <w:tab/>
      </w:r>
      <w:r>
        <w:rPr>
          <w:rFonts w:hint="eastAsia" w:ascii="仿宋" w:hAnsi="仿宋" w:eastAsia="仿宋" w:cs="仿宋_GB2312"/>
          <w:sz w:val="32"/>
          <w:szCs w:val="32"/>
        </w:rPr>
        <w:t>10</w:t>
      </w:r>
    </w:p>
    <w:p>
      <w:pPr>
        <w:pStyle w:val="11"/>
        <w:adjustRightInd w:val="0"/>
        <w:snapToGrid w:val="0"/>
        <w:spacing w:line="560" w:lineRule="exact"/>
        <w:jc w:val="left"/>
        <w:rPr>
          <w:rFonts w:ascii="仿宋" w:hAnsi="仿宋" w:eastAsia="仿宋" w:cs="仿宋_GB2312"/>
          <w:sz w:val="32"/>
          <w:szCs w:val="32"/>
        </w:rPr>
      </w:pPr>
      <w:r>
        <w:rPr>
          <w:rFonts w:hint="eastAsia" w:ascii="仿宋" w:hAnsi="仿宋" w:eastAsia="仿宋" w:cs="仿宋_GB2312"/>
          <w:sz w:val="32"/>
          <w:szCs w:val="32"/>
        </w:rPr>
        <w:t>六、一般公共预算财政拨款基本支出决算情况说明</w:t>
      </w:r>
      <w:r>
        <w:rPr>
          <w:rFonts w:hint="eastAsia" w:ascii="仿宋" w:hAnsi="仿宋" w:eastAsia="仿宋" w:cs="仿宋_GB2312"/>
          <w:sz w:val="32"/>
          <w:szCs w:val="32"/>
        </w:rPr>
        <w:tab/>
      </w:r>
      <w:r>
        <w:rPr>
          <w:rFonts w:hint="eastAsia" w:ascii="仿宋" w:hAnsi="仿宋" w:eastAsia="仿宋" w:cs="仿宋_GB2312"/>
          <w:sz w:val="32"/>
          <w:szCs w:val="32"/>
        </w:rPr>
        <w:t>12</w:t>
      </w:r>
    </w:p>
    <w:p>
      <w:pPr>
        <w:pStyle w:val="11"/>
        <w:adjustRightInd w:val="0"/>
        <w:snapToGrid w:val="0"/>
        <w:spacing w:line="560" w:lineRule="exact"/>
        <w:jc w:val="left"/>
        <w:rPr>
          <w:rFonts w:ascii="仿宋" w:hAnsi="仿宋" w:eastAsia="仿宋" w:cs="仿宋_GB2312"/>
          <w:sz w:val="32"/>
          <w:szCs w:val="32"/>
        </w:rPr>
      </w:pPr>
      <w:r>
        <w:rPr>
          <w:rFonts w:hint="eastAsia" w:ascii="仿宋" w:hAnsi="仿宋" w:eastAsia="仿宋" w:cs="仿宋_GB2312"/>
          <w:sz w:val="32"/>
          <w:szCs w:val="32"/>
        </w:rPr>
        <w:t>七、“三公”经费财政拨款支出决算情况说明</w:t>
      </w:r>
      <w:r>
        <w:rPr>
          <w:rFonts w:hint="eastAsia" w:ascii="仿宋" w:hAnsi="仿宋" w:eastAsia="仿宋" w:cs="仿宋_GB2312"/>
          <w:sz w:val="32"/>
          <w:szCs w:val="32"/>
        </w:rPr>
        <w:tab/>
      </w:r>
      <w:r>
        <w:rPr>
          <w:rFonts w:hint="eastAsia" w:ascii="仿宋" w:hAnsi="仿宋" w:eastAsia="仿宋" w:cs="仿宋_GB2312"/>
          <w:sz w:val="32"/>
          <w:szCs w:val="32"/>
        </w:rPr>
        <w:t>12</w:t>
      </w:r>
    </w:p>
    <w:p>
      <w:pPr>
        <w:pStyle w:val="11"/>
        <w:adjustRightInd w:val="0"/>
        <w:snapToGrid w:val="0"/>
        <w:spacing w:line="560" w:lineRule="exact"/>
        <w:jc w:val="left"/>
        <w:rPr>
          <w:rFonts w:ascii="仿宋" w:hAnsi="仿宋" w:eastAsia="仿宋" w:cs="仿宋_GB2312"/>
          <w:sz w:val="32"/>
          <w:szCs w:val="32"/>
        </w:rPr>
      </w:pPr>
      <w:r>
        <w:rPr>
          <w:rFonts w:hint="eastAsia" w:ascii="仿宋" w:hAnsi="仿宋" w:eastAsia="仿宋" w:cs="仿宋_GB2312"/>
          <w:sz w:val="32"/>
          <w:szCs w:val="32"/>
        </w:rPr>
        <w:t>八、政府性基金预算支出决算情况说明</w:t>
      </w:r>
      <w:r>
        <w:rPr>
          <w:rFonts w:hint="eastAsia" w:ascii="仿宋" w:hAnsi="仿宋" w:eastAsia="仿宋" w:cs="仿宋_GB2312"/>
          <w:sz w:val="32"/>
          <w:szCs w:val="32"/>
        </w:rPr>
        <w:tab/>
      </w:r>
      <w:r>
        <w:rPr>
          <w:rFonts w:hint="eastAsia" w:ascii="仿宋" w:hAnsi="仿宋" w:eastAsia="仿宋" w:cs="仿宋_GB2312"/>
          <w:sz w:val="32"/>
          <w:szCs w:val="32"/>
        </w:rPr>
        <w:t>14</w:t>
      </w:r>
    </w:p>
    <w:p>
      <w:pPr>
        <w:pStyle w:val="11"/>
        <w:adjustRightInd w:val="0"/>
        <w:snapToGrid w:val="0"/>
        <w:spacing w:line="560" w:lineRule="exact"/>
        <w:jc w:val="left"/>
        <w:rPr>
          <w:rFonts w:ascii="仿宋" w:hAnsi="仿宋" w:eastAsia="仿宋" w:cs="仿宋_GB2312"/>
          <w:sz w:val="32"/>
          <w:szCs w:val="32"/>
        </w:rPr>
      </w:pPr>
      <w:r>
        <w:rPr>
          <w:rFonts w:hint="eastAsia" w:ascii="仿宋" w:hAnsi="仿宋" w:eastAsia="仿宋" w:cs="仿宋_GB2312"/>
          <w:sz w:val="32"/>
          <w:szCs w:val="32"/>
        </w:rPr>
        <w:t>九、国有资本经营预算支出决算情况说明</w:t>
      </w:r>
      <w:r>
        <w:rPr>
          <w:rFonts w:hint="eastAsia" w:ascii="仿宋" w:hAnsi="仿宋" w:eastAsia="仿宋" w:cs="仿宋_GB2312"/>
          <w:sz w:val="32"/>
          <w:szCs w:val="32"/>
        </w:rPr>
        <w:tab/>
      </w:r>
      <w:r>
        <w:rPr>
          <w:rFonts w:hint="eastAsia" w:ascii="仿宋" w:hAnsi="仿宋" w:eastAsia="仿宋" w:cs="仿宋_GB2312"/>
          <w:sz w:val="32"/>
          <w:szCs w:val="32"/>
        </w:rPr>
        <w:t>14</w:t>
      </w:r>
    </w:p>
    <w:p>
      <w:pPr>
        <w:pStyle w:val="11"/>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十、其他重要事项的情况说明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.14</w:t>
      </w:r>
    </w:p>
    <w:p>
      <w:pPr>
        <w:pStyle w:val="11"/>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第三部分 名词解释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19</w:t>
      </w:r>
    </w:p>
    <w:p>
      <w:pPr>
        <w:pStyle w:val="11"/>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第四部分 附件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22</w:t>
      </w:r>
    </w:p>
    <w:p>
      <w:pPr>
        <w:pStyle w:val="11"/>
        <w:adjustRightInd w:val="0"/>
        <w:snapToGrid w:val="0"/>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第五部分 附表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26</w:t>
      </w:r>
    </w:p>
    <w:p>
      <w:pPr>
        <w:pStyle w:val="11"/>
        <w:adjustRightInd w:val="0"/>
        <w:snapToGrid w:val="0"/>
        <w:spacing w:line="560" w:lineRule="exact"/>
        <w:jc w:val="left"/>
        <w:rPr>
          <w:rFonts w:ascii="仿宋" w:hAnsi="仿宋" w:eastAsia="仿宋" w:cs="仿宋_GB2312"/>
          <w:sz w:val="32"/>
          <w:szCs w:val="32"/>
        </w:rPr>
      </w:pPr>
      <w:r>
        <w:rPr>
          <w:rFonts w:hint="eastAsia" w:ascii="仿宋" w:hAnsi="仿宋" w:eastAsia="仿宋" w:cs="仿宋_GB2312"/>
          <w:sz w:val="32"/>
          <w:szCs w:val="32"/>
        </w:rPr>
        <w:t>一、收入支出决算总表</w:t>
      </w:r>
    </w:p>
    <w:p>
      <w:pPr>
        <w:pStyle w:val="11"/>
        <w:adjustRightInd w:val="0"/>
        <w:snapToGrid w:val="0"/>
        <w:spacing w:line="560" w:lineRule="exact"/>
        <w:jc w:val="left"/>
        <w:rPr>
          <w:rFonts w:ascii="仿宋" w:hAnsi="仿宋" w:eastAsia="仿宋" w:cs="仿宋_GB2312"/>
          <w:sz w:val="32"/>
          <w:szCs w:val="32"/>
        </w:rPr>
      </w:pPr>
      <w:r>
        <w:rPr>
          <w:rFonts w:hint="eastAsia" w:ascii="仿宋" w:hAnsi="仿宋" w:eastAsia="仿宋" w:cs="仿宋_GB2312"/>
          <w:sz w:val="32"/>
          <w:szCs w:val="32"/>
        </w:rPr>
        <w:t>二、收入决算表</w:t>
      </w:r>
    </w:p>
    <w:p>
      <w:pPr>
        <w:pStyle w:val="11"/>
        <w:adjustRightInd w:val="0"/>
        <w:snapToGrid w:val="0"/>
        <w:spacing w:line="560" w:lineRule="exact"/>
        <w:jc w:val="left"/>
        <w:rPr>
          <w:rFonts w:ascii="仿宋" w:hAnsi="仿宋" w:eastAsia="仿宋" w:cs="仿宋_GB2312"/>
          <w:sz w:val="32"/>
          <w:szCs w:val="32"/>
        </w:rPr>
      </w:pPr>
      <w:r>
        <w:rPr>
          <w:rFonts w:hint="eastAsia" w:ascii="仿宋" w:hAnsi="仿宋" w:eastAsia="仿宋" w:cs="仿宋_GB2312"/>
          <w:sz w:val="32"/>
          <w:szCs w:val="32"/>
        </w:rPr>
        <w:t>三、支出决算表</w:t>
      </w:r>
    </w:p>
    <w:p>
      <w:pPr>
        <w:pStyle w:val="11"/>
        <w:adjustRightInd w:val="0"/>
        <w:snapToGrid w:val="0"/>
        <w:spacing w:line="560" w:lineRule="exact"/>
        <w:jc w:val="left"/>
        <w:rPr>
          <w:rFonts w:ascii="仿宋" w:hAnsi="仿宋" w:eastAsia="仿宋" w:cs="仿宋_GB2312"/>
          <w:sz w:val="32"/>
          <w:szCs w:val="32"/>
        </w:rPr>
      </w:pPr>
      <w:r>
        <w:rPr>
          <w:rFonts w:hint="eastAsia" w:ascii="仿宋" w:hAnsi="仿宋" w:eastAsia="仿宋" w:cs="仿宋_GB2312"/>
          <w:sz w:val="32"/>
          <w:szCs w:val="32"/>
        </w:rPr>
        <w:t>四、财政拨款收入支出决算总表</w:t>
      </w:r>
    </w:p>
    <w:p>
      <w:pPr>
        <w:pStyle w:val="11"/>
        <w:adjustRightInd w:val="0"/>
        <w:snapToGrid w:val="0"/>
        <w:spacing w:line="560" w:lineRule="exact"/>
        <w:jc w:val="left"/>
        <w:rPr>
          <w:rFonts w:ascii="仿宋" w:hAnsi="仿宋" w:eastAsia="仿宋" w:cs="仿宋_GB2312"/>
          <w:sz w:val="32"/>
          <w:szCs w:val="32"/>
        </w:rPr>
      </w:pPr>
      <w:r>
        <w:rPr>
          <w:rFonts w:hint="eastAsia" w:ascii="仿宋" w:hAnsi="仿宋" w:eastAsia="仿宋" w:cs="仿宋_GB2312"/>
          <w:sz w:val="32"/>
          <w:szCs w:val="32"/>
        </w:rPr>
        <w:t>五、财政拨款支出决算明细表</w:t>
      </w:r>
    </w:p>
    <w:p>
      <w:pPr>
        <w:pStyle w:val="11"/>
        <w:adjustRightInd w:val="0"/>
        <w:snapToGrid w:val="0"/>
        <w:spacing w:line="560" w:lineRule="exact"/>
        <w:jc w:val="left"/>
        <w:rPr>
          <w:rFonts w:ascii="仿宋" w:hAnsi="仿宋" w:eastAsia="仿宋" w:cs="仿宋_GB2312"/>
          <w:sz w:val="32"/>
          <w:szCs w:val="32"/>
        </w:rPr>
      </w:pPr>
      <w:r>
        <w:rPr>
          <w:rFonts w:hint="eastAsia" w:ascii="仿宋" w:hAnsi="仿宋" w:eastAsia="仿宋" w:cs="仿宋_GB2312"/>
          <w:sz w:val="32"/>
          <w:szCs w:val="32"/>
        </w:rPr>
        <w:t>六、一般公共预算财政拨款支出决算表</w:t>
      </w:r>
    </w:p>
    <w:p>
      <w:pPr>
        <w:pStyle w:val="11"/>
        <w:adjustRightInd w:val="0"/>
        <w:snapToGrid w:val="0"/>
        <w:spacing w:line="560" w:lineRule="exact"/>
        <w:jc w:val="left"/>
        <w:rPr>
          <w:rFonts w:ascii="仿宋" w:hAnsi="仿宋" w:eastAsia="仿宋" w:cs="仿宋_GB2312"/>
          <w:sz w:val="32"/>
          <w:szCs w:val="32"/>
        </w:rPr>
      </w:pPr>
      <w:r>
        <w:rPr>
          <w:rFonts w:hint="eastAsia" w:ascii="仿宋" w:hAnsi="仿宋" w:eastAsia="仿宋" w:cs="仿宋_GB2312"/>
          <w:sz w:val="32"/>
          <w:szCs w:val="32"/>
        </w:rPr>
        <w:t>七、一般公共预算财政拨款支出决算明细表</w:t>
      </w:r>
    </w:p>
    <w:p>
      <w:pPr>
        <w:pStyle w:val="11"/>
        <w:adjustRightInd w:val="0"/>
        <w:snapToGrid w:val="0"/>
        <w:spacing w:line="560" w:lineRule="exact"/>
        <w:jc w:val="left"/>
        <w:rPr>
          <w:rFonts w:ascii="仿宋" w:hAnsi="仿宋" w:eastAsia="仿宋" w:cs="仿宋_GB2312"/>
          <w:sz w:val="32"/>
          <w:szCs w:val="32"/>
        </w:rPr>
      </w:pPr>
      <w:r>
        <w:rPr>
          <w:rFonts w:hint="eastAsia" w:ascii="仿宋" w:hAnsi="仿宋" w:eastAsia="仿宋" w:cs="仿宋_GB2312"/>
          <w:sz w:val="32"/>
          <w:szCs w:val="32"/>
        </w:rPr>
        <w:t>八、一般公共预算财政拨款基本支出决算表</w:t>
      </w:r>
    </w:p>
    <w:p>
      <w:pPr>
        <w:pStyle w:val="11"/>
        <w:adjustRightInd w:val="0"/>
        <w:snapToGrid w:val="0"/>
        <w:spacing w:line="560" w:lineRule="exact"/>
        <w:jc w:val="left"/>
        <w:rPr>
          <w:rFonts w:ascii="仿宋" w:hAnsi="仿宋" w:eastAsia="仿宋" w:cs="仿宋_GB2312"/>
          <w:sz w:val="32"/>
          <w:szCs w:val="32"/>
        </w:rPr>
      </w:pPr>
      <w:r>
        <w:rPr>
          <w:rFonts w:hint="eastAsia" w:ascii="仿宋" w:hAnsi="仿宋" w:eastAsia="仿宋" w:cs="仿宋_GB2312"/>
          <w:sz w:val="32"/>
          <w:szCs w:val="32"/>
        </w:rPr>
        <w:t>九、一般公共预算财政拨款项目支出决算表</w:t>
      </w:r>
    </w:p>
    <w:p>
      <w:pPr>
        <w:pStyle w:val="11"/>
        <w:adjustRightInd w:val="0"/>
        <w:snapToGrid w:val="0"/>
        <w:spacing w:line="560" w:lineRule="exact"/>
        <w:jc w:val="left"/>
        <w:rPr>
          <w:rFonts w:ascii="仿宋" w:hAnsi="仿宋" w:eastAsia="仿宋" w:cs="仿宋_GB2312"/>
          <w:sz w:val="32"/>
          <w:szCs w:val="32"/>
        </w:rPr>
      </w:pPr>
      <w:r>
        <w:rPr>
          <w:rFonts w:hint="eastAsia" w:ascii="仿宋" w:hAnsi="仿宋" w:eastAsia="仿宋" w:cs="仿宋_GB2312"/>
          <w:sz w:val="32"/>
          <w:szCs w:val="32"/>
        </w:rPr>
        <w:t>十、一般公共预算财政拨款“三公”经费支出决算表</w:t>
      </w:r>
    </w:p>
    <w:p>
      <w:pPr>
        <w:pStyle w:val="11"/>
        <w:adjustRightInd w:val="0"/>
        <w:snapToGrid w:val="0"/>
        <w:spacing w:line="560" w:lineRule="exact"/>
        <w:jc w:val="left"/>
        <w:rPr>
          <w:rFonts w:ascii="仿宋" w:hAnsi="仿宋" w:eastAsia="仿宋" w:cs="仿宋_GB2312"/>
          <w:sz w:val="32"/>
          <w:szCs w:val="32"/>
        </w:rPr>
      </w:pPr>
      <w:r>
        <w:rPr>
          <w:rFonts w:hint="eastAsia" w:ascii="仿宋" w:hAnsi="仿宋" w:eastAsia="仿宋" w:cs="仿宋_GB2312"/>
          <w:sz w:val="32"/>
          <w:szCs w:val="32"/>
        </w:rPr>
        <w:t>十一、政府性基金预算财政拨款收入支出决算表</w:t>
      </w:r>
    </w:p>
    <w:p>
      <w:pPr>
        <w:pStyle w:val="11"/>
        <w:adjustRightInd w:val="0"/>
        <w:snapToGrid w:val="0"/>
        <w:spacing w:line="560" w:lineRule="exact"/>
        <w:jc w:val="left"/>
        <w:rPr>
          <w:rFonts w:ascii="仿宋" w:hAnsi="仿宋" w:eastAsia="仿宋" w:cs="仿宋_GB2312"/>
          <w:sz w:val="32"/>
          <w:szCs w:val="32"/>
        </w:rPr>
      </w:pPr>
      <w:r>
        <w:rPr>
          <w:rFonts w:hint="eastAsia" w:ascii="仿宋" w:hAnsi="仿宋" w:eastAsia="仿宋" w:cs="仿宋_GB2312"/>
          <w:sz w:val="32"/>
          <w:szCs w:val="32"/>
        </w:rPr>
        <w:t>十二、政府性基金预算财政拨款“三公”经费支出决算表</w:t>
      </w:r>
    </w:p>
    <w:p>
      <w:pPr>
        <w:pStyle w:val="11"/>
        <w:adjustRightInd w:val="0"/>
        <w:snapToGrid w:val="0"/>
        <w:spacing w:line="560" w:lineRule="exact"/>
        <w:jc w:val="left"/>
        <w:rPr>
          <w:rFonts w:ascii="仿宋" w:hAnsi="仿宋" w:eastAsia="仿宋" w:cs="仿宋_GB2312"/>
          <w:sz w:val="32"/>
          <w:szCs w:val="32"/>
        </w:rPr>
      </w:pPr>
      <w:r>
        <w:rPr>
          <w:rFonts w:hint="eastAsia" w:ascii="仿宋" w:hAnsi="仿宋" w:eastAsia="仿宋" w:cs="仿宋_GB2312"/>
          <w:sz w:val="32"/>
          <w:szCs w:val="32"/>
        </w:rPr>
        <w:t>十三、国有资本经营预算财政拨款收入支出决算表</w:t>
      </w:r>
    </w:p>
    <w:p>
      <w:pPr>
        <w:pStyle w:val="11"/>
        <w:adjustRightInd w:val="0"/>
        <w:snapToGrid w:val="0"/>
        <w:spacing w:line="560" w:lineRule="exact"/>
        <w:jc w:val="left"/>
        <w:rPr>
          <w:rFonts w:ascii="仿宋" w:hAnsi="仿宋" w:eastAsia="仿宋" w:cs="仿宋_GB2312"/>
          <w:sz w:val="32"/>
          <w:szCs w:val="32"/>
        </w:rPr>
      </w:pPr>
      <w:r>
        <w:rPr>
          <w:rFonts w:hint="eastAsia" w:ascii="仿宋" w:hAnsi="仿宋" w:eastAsia="仿宋" w:cs="仿宋_GB2312"/>
          <w:sz w:val="32"/>
          <w:szCs w:val="32"/>
        </w:rPr>
        <w:t>十四、国有资本经营预算财政拨款支出决算表</w:t>
      </w:r>
    </w:p>
    <w:p>
      <w:pPr>
        <w:widowControl/>
        <w:jc w:val="center"/>
        <w:rPr>
          <w:rFonts w:ascii="黑体" w:hAnsi="黑体" w:eastAsia="黑体"/>
          <w:b/>
        </w:rPr>
      </w:pPr>
    </w:p>
    <w:p>
      <w:pPr>
        <w:widowControl/>
        <w:jc w:val="center"/>
        <w:rPr>
          <w:rFonts w:ascii="黑体" w:hAnsi="黑体" w:eastAsia="黑体"/>
          <w:b/>
        </w:rPr>
      </w:pPr>
    </w:p>
    <w:p>
      <w:pPr>
        <w:widowControl/>
        <w:jc w:val="center"/>
        <w:rPr>
          <w:rFonts w:ascii="黑体" w:hAnsi="黑体" w:eastAsia="黑体"/>
          <w:b/>
        </w:rPr>
      </w:pPr>
    </w:p>
    <w:p>
      <w:pPr>
        <w:widowControl/>
        <w:jc w:val="center"/>
        <w:rPr>
          <w:rFonts w:ascii="黑体" w:hAnsi="黑体" w:eastAsia="黑体"/>
          <w:b/>
        </w:rPr>
      </w:pPr>
    </w:p>
    <w:p>
      <w:pPr>
        <w:widowControl/>
        <w:jc w:val="center"/>
        <w:rPr>
          <w:rFonts w:ascii="黑体" w:hAnsi="黑体" w:eastAsia="黑体"/>
          <w:b/>
        </w:rPr>
      </w:pPr>
    </w:p>
    <w:p>
      <w:pPr>
        <w:widowControl/>
        <w:jc w:val="center"/>
        <w:rPr>
          <w:rFonts w:ascii="黑体" w:hAnsi="黑体" w:eastAsia="黑体"/>
          <w:b/>
        </w:rPr>
      </w:pPr>
      <w:bookmarkStart w:id="65" w:name="_GoBack"/>
      <w:bookmarkEnd w:id="65"/>
    </w:p>
    <w:p>
      <w:pPr>
        <w:widowControl/>
        <w:jc w:val="center"/>
        <w:rPr>
          <w:rFonts w:ascii="黑体" w:hAnsi="黑体" w:eastAsia="黑体"/>
          <w:b/>
        </w:rPr>
      </w:pPr>
    </w:p>
    <w:p>
      <w:pPr>
        <w:widowControl/>
        <w:jc w:val="center"/>
        <w:rPr>
          <w:rFonts w:ascii="黑体" w:hAnsi="黑体" w:eastAsia="黑体"/>
          <w:b/>
        </w:rPr>
      </w:pPr>
    </w:p>
    <w:p>
      <w:pPr>
        <w:widowControl/>
        <w:jc w:val="center"/>
        <w:rPr>
          <w:rFonts w:ascii="黑体" w:hAnsi="黑体" w:eastAsia="黑体"/>
          <w:b/>
        </w:rPr>
      </w:pPr>
    </w:p>
    <w:p>
      <w:pPr>
        <w:widowControl/>
        <w:jc w:val="center"/>
        <w:rPr>
          <w:rFonts w:ascii="黑体" w:hAnsi="黑体" w:eastAsia="黑体"/>
          <w:b/>
        </w:rPr>
      </w:pPr>
    </w:p>
    <w:p>
      <w:pPr>
        <w:widowControl/>
        <w:jc w:val="center"/>
        <w:rPr>
          <w:rFonts w:ascii="黑体" w:hAnsi="黑体" w:eastAsia="黑体"/>
          <w:b/>
        </w:rPr>
      </w:pPr>
    </w:p>
    <w:p>
      <w:pPr>
        <w:widowControl/>
        <w:jc w:val="center"/>
        <w:rPr>
          <w:rFonts w:ascii="黑体" w:hAnsi="黑体" w:eastAsia="黑体"/>
          <w:b/>
        </w:rPr>
      </w:pPr>
    </w:p>
    <w:p>
      <w:pPr>
        <w:widowControl/>
        <w:jc w:val="center"/>
        <w:rPr>
          <w:rFonts w:ascii="黑体" w:hAnsi="黑体" w:eastAsia="黑体"/>
          <w:b/>
        </w:rPr>
      </w:pPr>
    </w:p>
    <w:p>
      <w:pPr>
        <w:widowControl/>
        <w:jc w:val="center"/>
        <w:rPr>
          <w:rFonts w:ascii="黑体" w:hAnsi="黑体" w:eastAsia="黑体"/>
          <w:b/>
        </w:rPr>
      </w:pPr>
    </w:p>
    <w:p>
      <w:pPr>
        <w:widowControl/>
        <w:jc w:val="center"/>
        <w:rPr>
          <w:rFonts w:ascii="黑体" w:hAnsi="黑体" w:eastAsia="黑体"/>
          <w:b/>
        </w:rPr>
      </w:pPr>
    </w:p>
    <w:p>
      <w:pPr>
        <w:widowControl/>
        <w:jc w:val="center"/>
        <w:rPr>
          <w:rFonts w:ascii="黑体" w:hAnsi="黑体" w:eastAsia="黑体"/>
          <w:b/>
        </w:rPr>
      </w:pPr>
    </w:p>
    <w:p>
      <w:pPr>
        <w:widowControl/>
        <w:jc w:val="center"/>
        <w:rPr>
          <w:rFonts w:ascii="黑体" w:hAnsi="黑体" w:eastAsia="黑体"/>
          <w:b/>
        </w:rPr>
      </w:pPr>
    </w:p>
    <w:p>
      <w:pPr>
        <w:widowControl/>
        <w:jc w:val="center"/>
        <w:rPr>
          <w:rFonts w:ascii="黑体" w:hAnsi="黑体" w:eastAsia="黑体"/>
          <w:b/>
        </w:rPr>
      </w:pPr>
    </w:p>
    <w:bookmarkEnd w:id="12"/>
    <w:bookmarkEnd w:id="13"/>
    <w:p>
      <w:pPr>
        <w:pStyle w:val="2"/>
        <w:spacing w:line="600" w:lineRule="exact"/>
        <w:jc w:val="center"/>
        <w:rPr>
          <w:rFonts w:ascii="方正小标宋简体" w:hAnsi="方正小标宋简体" w:eastAsia="方正小标宋简体" w:cs="方正小标宋简体"/>
          <w:b w:val="0"/>
        </w:rPr>
      </w:pPr>
    </w:p>
    <w:p>
      <w:pPr>
        <w:pStyle w:val="2"/>
        <w:spacing w:line="600" w:lineRule="exact"/>
        <w:jc w:val="center"/>
        <w:rPr>
          <w:rStyle w:val="24"/>
          <w:rFonts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rPr>
        <w:t>第一部分 单位</w:t>
      </w:r>
      <w:r>
        <w:rPr>
          <w:rStyle w:val="24"/>
          <w:rFonts w:hint="eastAsia" w:ascii="方正小标宋简体" w:hAnsi="方正小标宋简体" w:eastAsia="方正小标宋简体" w:cs="方正小标宋简体"/>
          <w:b w:val="0"/>
          <w:bCs/>
        </w:rPr>
        <w:t>概况</w:t>
      </w:r>
    </w:p>
    <w:p>
      <w:pPr>
        <w:widowControl/>
        <w:jc w:val="left"/>
        <w:rPr>
          <w:rFonts w:ascii="黑体" w:eastAsia="黑体"/>
          <w:color w:val="000000"/>
          <w:sz w:val="32"/>
          <w:szCs w:val="32"/>
        </w:rPr>
      </w:pPr>
    </w:p>
    <w:p>
      <w:pPr>
        <w:pStyle w:val="3"/>
        <w:spacing w:line="560" w:lineRule="exact"/>
        <w:ind w:firstLine="640" w:firstLineChars="200"/>
        <w:rPr>
          <w:rStyle w:val="25"/>
          <w:rFonts w:ascii="黑体" w:hAnsi="黑体" w:eastAsia="黑体"/>
          <w:b w:val="0"/>
          <w:bCs w:val="0"/>
        </w:rPr>
      </w:pPr>
      <w:r>
        <w:rPr>
          <w:rStyle w:val="25"/>
          <w:rFonts w:hint="eastAsia" w:ascii="黑体" w:hAnsi="黑体" w:eastAsia="黑体"/>
          <w:b w:val="0"/>
          <w:bCs w:val="0"/>
        </w:rPr>
        <w:t>一、职能简介</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四川省省级机关国有资产管理中心(以下简称中心)是省政府为切实加强省级机关国有资产管理，经省编委川编发〔</w:t>
      </w:r>
      <w:r>
        <w:rPr>
          <w:rFonts w:hint="eastAsia" w:ascii="仿宋" w:hAnsi="仿宋" w:eastAsia="仿宋"/>
          <w:spacing w:val="-20"/>
          <w:sz w:val="32"/>
          <w:szCs w:val="32"/>
        </w:rPr>
        <w:t>2006</w:t>
      </w:r>
      <w:r>
        <w:rPr>
          <w:rFonts w:hint="eastAsia" w:ascii="仿宋" w:hAnsi="仿宋" w:eastAsia="仿宋" w:cs="仿宋_GB2312"/>
          <w:sz w:val="32"/>
          <w:szCs w:val="32"/>
        </w:rPr>
        <w:t>〕</w:t>
      </w:r>
      <w:r>
        <w:rPr>
          <w:rFonts w:hint="eastAsia" w:ascii="仿宋" w:hAnsi="仿宋" w:eastAsia="仿宋"/>
          <w:spacing w:val="-20"/>
          <w:sz w:val="32"/>
          <w:szCs w:val="32"/>
        </w:rPr>
        <w:t>23</w:t>
      </w:r>
      <w:r>
        <w:rPr>
          <w:rFonts w:hint="eastAsia" w:ascii="仿宋" w:hAnsi="仿宋" w:eastAsia="仿宋" w:cs="仿宋_GB2312"/>
          <w:sz w:val="32"/>
          <w:szCs w:val="32"/>
        </w:rPr>
        <w:t>号文批准，于</w:t>
      </w:r>
      <w:r>
        <w:rPr>
          <w:rFonts w:hint="eastAsia" w:ascii="仿宋" w:hAnsi="仿宋" w:eastAsia="仿宋"/>
          <w:spacing w:val="-20"/>
          <w:sz w:val="32"/>
          <w:szCs w:val="32"/>
        </w:rPr>
        <w:t>2006</w:t>
      </w:r>
      <w:r>
        <w:rPr>
          <w:rFonts w:hint="eastAsia" w:ascii="仿宋" w:hAnsi="仿宋" w:eastAsia="仿宋" w:cs="仿宋_GB2312"/>
          <w:sz w:val="32"/>
          <w:szCs w:val="32"/>
        </w:rPr>
        <w:t>年</w:t>
      </w:r>
      <w:r>
        <w:rPr>
          <w:rFonts w:hint="eastAsia" w:ascii="仿宋" w:hAnsi="仿宋" w:eastAsia="仿宋"/>
          <w:spacing w:val="-20"/>
          <w:sz w:val="32"/>
          <w:szCs w:val="32"/>
        </w:rPr>
        <w:t>6</w:t>
      </w:r>
      <w:r>
        <w:rPr>
          <w:rFonts w:hint="eastAsia" w:ascii="仿宋" w:hAnsi="仿宋" w:eastAsia="仿宋" w:cs="仿宋_GB2312"/>
          <w:sz w:val="32"/>
          <w:szCs w:val="32"/>
        </w:rPr>
        <w:t>月正式成立，为省机关事务管理局所属二级预算单位，单位性质为财政全额补助事业单位，承担省级实行国有资产集中统一管理的机关和事业单位国有房屋对外提供有偿使用管理、对外投资管理工作；承担省级机关国有资产拍卖、重组、合资等资产处置工作；负责归集国有资产收益并上缴财政等。</w:t>
      </w:r>
      <w:r>
        <w:rPr>
          <w:rFonts w:hint="eastAsia" w:ascii="仿宋" w:hAnsi="仿宋" w:eastAsia="仿宋"/>
          <w:spacing w:val="-20"/>
          <w:sz w:val="32"/>
          <w:szCs w:val="32"/>
        </w:rPr>
        <w:t>2017</w:t>
      </w:r>
      <w:r>
        <w:rPr>
          <w:rFonts w:hint="eastAsia" w:ascii="仿宋" w:hAnsi="仿宋" w:eastAsia="仿宋" w:cs="仿宋_GB2312"/>
          <w:sz w:val="32"/>
          <w:szCs w:val="32"/>
        </w:rPr>
        <w:t>年</w:t>
      </w:r>
      <w:r>
        <w:rPr>
          <w:rFonts w:hint="eastAsia" w:ascii="仿宋" w:hAnsi="仿宋" w:eastAsia="仿宋"/>
          <w:spacing w:val="-20"/>
          <w:sz w:val="32"/>
          <w:szCs w:val="32"/>
        </w:rPr>
        <w:t>9</w:t>
      </w:r>
      <w:r>
        <w:rPr>
          <w:rFonts w:hint="eastAsia" w:ascii="仿宋" w:hAnsi="仿宋" w:eastAsia="仿宋" w:cs="仿宋_GB2312"/>
          <w:sz w:val="32"/>
          <w:szCs w:val="32"/>
        </w:rPr>
        <w:t>月，根据川编发〔</w:t>
      </w:r>
      <w:r>
        <w:rPr>
          <w:rFonts w:hint="eastAsia" w:ascii="仿宋" w:hAnsi="仿宋" w:eastAsia="仿宋"/>
          <w:spacing w:val="-20"/>
          <w:sz w:val="32"/>
          <w:szCs w:val="32"/>
        </w:rPr>
        <w:t>2017</w:t>
      </w:r>
      <w:r>
        <w:rPr>
          <w:rFonts w:hint="eastAsia" w:ascii="仿宋" w:hAnsi="仿宋" w:eastAsia="仿宋" w:cs="仿宋_GB2312"/>
          <w:sz w:val="32"/>
          <w:szCs w:val="32"/>
        </w:rPr>
        <w:t>〕</w:t>
      </w:r>
      <w:r>
        <w:rPr>
          <w:rFonts w:hint="eastAsia" w:ascii="仿宋" w:hAnsi="仿宋" w:eastAsia="仿宋"/>
          <w:spacing w:val="-20"/>
          <w:sz w:val="32"/>
          <w:szCs w:val="32"/>
        </w:rPr>
        <w:t>65</w:t>
      </w:r>
      <w:r>
        <w:rPr>
          <w:rFonts w:hint="eastAsia" w:ascii="仿宋" w:hAnsi="仿宋" w:eastAsia="仿宋" w:cs="仿宋_GB2312"/>
          <w:sz w:val="32"/>
          <w:szCs w:val="32"/>
        </w:rPr>
        <w:t>号文件，中心加挂省公务用车平台服务中心牌子，主要职责增加“负责省公务用车平台运行维护和省直机关集中车辆的统筹调试派遣等工作”。</w:t>
      </w:r>
    </w:p>
    <w:p>
      <w:pPr>
        <w:pStyle w:val="3"/>
        <w:spacing w:line="560" w:lineRule="exact"/>
        <w:ind w:firstLine="640" w:firstLineChars="200"/>
        <w:rPr>
          <w:rFonts w:ascii="黑体" w:hAnsi="黑体" w:eastAsia="黑体"/>
          <w:b w:val="0"/>
        </w:rPr>
      </w:pPr>
      <w:r>
        <w:rPr>
          <w:rFonts w:hint="eastAsia" w:ascii="黑体" w:hAnsi="黑体" w:eastAsia="黑体"/>
          <w:b w:val="0"/>
        </w:rPr>
        <w:t>二、</w:t>
      </w:r>
      <w:r>
        <w:rPr>
          <w:rFonts w:hint="eastAsia" w:ascii="Times New Roman" w:hAnsi="Times New Roman" w:eastAsia="仿宋_GB2312" w:cs="Times New Roman"/>
          <w:b w:val="0"/>
          <w:bCs w:val="0"/>
          <w:spacing w:val="-20"/>
        </w:rPr>
        <w:t>2020</w:t>
      </w:r>
      <w:r>
        <w:rPr>
          <w:rFonts w:hint="eastAsia" w:ascii="黑体" w:hAnsi="黑体" w:eastAsia="黑体"/>
          <w:b w:val="0"/>
        </w:rPr>
        <w:t>年重点工作完成情况</w:t>
      </w:r>
    </w:p>
    <w:p>
      <w:pPr>
        <w:pStyle w:val="5"/>
        <w:adjustRightInd w:val="0"/>
        <w:snapToGrid w:val="0"/>
        <w:spacing w:before="93" w:line="560" w:lineRule="exact"/>
        <w:ind w:firstLine="672" w:firstLineChars="210"/>
        <w:outlineLvl w:val="2"/>
        <w:rPr>
          <w:rFonts w:ascii="楷体_GB2312" w:hAnsi="楷体_GB2312" w:eastAsia="楷体_GB2312" w:cs="楷体_GB2312"/>
          <w:sz w:val="32"/>
          <w:szCs w:val="32"/>
        </w:rPr>
      </w:pPr>
      <w:r>
        <w:rPr>
          <w:rFonts w:hint="eastAsia" w:ascii="楷体_GB2312" w:hAnsi="楷体_GB2312" w:eastAsia="楷体_GB2312" w:cs="楷体_GB2312"/>
          <w:sz w:val="32"/>
          <w:szCs w:val="32"/>
        </w:rPr>
        <w:t>（一）物资处置平台高效管理，处置能力大幅提升</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1.持续提升资产处置服务能力，提升专业水准、响应效率及协调沟通能力，进一步提高服务水平。</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2.创新专项物资处置新机制，建立罚没物资分类处置新模式，形成鉴定估价、价格认证、网上公开拍卖等处置流程。</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3.持续加强内部管理，进一步完善管理制度，规范资产处置流程，建立内控体系，在资产处置业务过程中，逐步实现标准化、规范化管理。</w:t>
      </w:r>
    </w:p>
    <w:p>
      <w:pPr>
        <w:spacing w:line="560" w:lineRule="exact"/>
        <w:ind w:firstLine="642"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（二）公务用车平台精细管理，信息化管理水平提高</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1.加大平台应用力度，把平台应用作为加强和规范公务用车管理的重要抓手，健全完善公车平台管理长效机制，依托平台推进公务用车全生命周期信息化管理，提高公务用车精细化和信息化管理水平。</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2.持续优化平台功能，优化平台系统，全力打造好用、管用、实用的平台，助力公务用车管理制度化、规范化、标准化。</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3.抓好平台运维常态管理，抓好各级用户平台使用培训指导，做好终端故障排查维护，确保数据、系统高效安全运行。</w:t>
      </w:r>
    </w:p>
    <w:p>
      <w:pPr>
        <w:spacing w:line="560" w:lineRule="exact"/>
        <w:ind w:firstLine="642"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（三）对外投资项目有效管理，国有资产完整增值</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1.落实管理职责，加强对全资及控股企业的监管，落实企业法人主体责任，使其规范、高效运转；积极参与参股公司的管理，充分发挥董事会、监事会职能。</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2.加大对部分对外投资处置力度。依法依规处置投资项目，按处置程序有序推进公司清算注销和股权处置工作。</w:t>
      </w:r>
    </w:p>
    <w:p>
      <w:pPr>
        <w:spacing w:line="560" w:lineRule="exact"/>
        <w:ind w:firstLine="645"/>
        <w:rPr>
          <w:rFonts w:ascii="楷体_GB2312" w:hAnsi="楷体_GB2312" w:eastAsia="楷体_GB2312" w:cs="楷体_GB2312"/>
          <w:sz w:val="32"/>
          <w:szCs w:val="32"/>
        </w:rPr>
      </w:pPr>
      <w:r>
        <w:rPr>
          <w:rFonts w:hint="eastAsia" w:ascii="楷体_GB2312" w:hAnsi="楷体_GB2312" w:eastAsia="楷体_GB2312" w:cs="楷体_GB2312"/>
          <w:b/>
          <w:sz w:val="32"/>
          <w:szCs w:val="32"/>
        </w:rPr>
        <w:t>（四）国有房屋阳光管理，有偿使用公开规范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1.加强国有房屋管理，认真履行合同，及时收取租金，同时积极做好省直部门新移交国有房屋的管理。</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2.减免国有房屋租金，助力中小企业、个体工商户共克时艰，中心及时按照相关政策，为因受新冠疫情影响生产经营困难的个体工商户及中小企业承租户减免</w:t>
      </w:r>
      <w:r>
        <w:rPr>
          <w:rFonts w:hint="eastAsia" w:ascii="仿宋" w:hAnsi="仿宋" w:eastAsia="仿宋"/>
          <w:spacing w:val="-20"/>
          <w:sz w:val="32"/>
          <w:szCs w:val="32"/>
        </w:rPr>
        <w:t>3</w:t>
      </w:r>
      <w:r>
        <w:rPr>
          <w:rFonts w:hint="eastAsia" w:ascii="仿宋" w:hAnsi="仿宋" w:eastAsia="仿宋" w:cs="仿宋_GB2312"/>
          <w:sz w:val="32"/>
          <w:szCs w:val="32"/>
        </w:rPr>
        <w:t>个月的房屋租金。</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3.做好房屋公开竞租工作，确保国有资产安全完整、保值增值。</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4.做好国有房屋维修维护工作，加强物业巡查，杜绝安全隐患，及时向承租户发放关于加强防疫、防汛、防火、防雷击等通知，加强有偿使用国有房屋的安全管理。</w:t>
      </w:r>
    </w:p>
    <w:p>
      <w:pPr>
        <w:pStyle w:val="3"/>
        <w:spacing w:line="560" w:lineRule="exact"/>
        <w:ind w:firstLine="640" w:firstLineChars="200"/>
        <w:rPr>
          <w:rFonts w:hint="eastAsia" w:ascii="Times New Roman" w:hAnsi="Times New Roman" w:eastAsia="仿宋_GB2312" w:cs="Times New Roman"/>
          <w:b w:val="0"/>
          <w:bCs w:val="0"/>
          <w:spacing w:val="-20"/>
        </w:rPr>
      </w:pPr>
      <w:r>
        <w:rPr>
          <w:rFonts w:hint="eastAsia" w:ascii="黑体" w:hAnsi="黑体" w:eastAsia="黑体"/>
          <w:b w:val="0"/>
        </w:rPr>
        <w:t>三、</w:t>
      </w:r>
      <w:r>
        <w:rPr>
          <w:rFonts w:hint="eastAsia" w:ascii="Times New Roman" w:hAnsi="Times New Roman" w:eastAsia="仿宋_GB2312" w:cs="Times New Roman"/>
          <w:b w:val="0"/>
          <w:bCs w:val="0"/>
          <w:spacing w:val="-20"/>
        </w:rPr>
        <w:t>机构设置情况</w:t>
      </w:r>
    </w:p>
    <w:p>
      <w:pPr>
        <w:spacing w:line="560" w:lineRule="exact"/>
        <w:ind w:firstLine="640" w:firstLineChars="200"/>
      </w:pPr>
      <w:r>
        <w:rPr>
          <w:rFonts w:hint="eastAsia" w:ascii="仿宋" w:hAnsi="仿宋" w:eastAsia="仿宋" w:cs="仿宋_GB2312"/>
          <w:sz w:val="32"/>
          <w:szCs w:val="32"/>
        </w:rPr>
        <w:t>四川省省级机关国有资产管理中心由4个内设科室组成，分别是：资产管理科、公务用车平台管理科、办公室、财务科。</w:t>
      </w:r>
    </w:p>
    <w:p>
      <w:pPr>
        <w:spacing w:line="560" w:lineRule="exact"/>
        <w:ind w:firstLine="640" w:firstLineChars="200"/>
        <w:rPr>
          <w:rFonts w:ascii="仿宋" w:hAnsi="仿宋" w:eastAsia="仿宋" w:cs="仿宋_GB2312"/>
          <w:sz w:val="32"/>
          <w:szCs w:val="32"/>
        </w:rPr>
      </w:pPr>
    </w:p>
    <w:p>
      <w:pPr>
        <w:widowControl/>
        <w:spacing w:line="600" w:lineRule="exact"/>
        <w:jc w:val="center"/>
        <w:rPr>
          <w:rStyle w:val="24"/>
          <w:rFonts w:ascii="方正小标宋简体" w:hAnsi="方正小标宋简体" w:eastAsia="方正小标宋简体" w:cs="方正小标宋简体"/>
        </w:rPr>
      </w:pPr>
      <w:r>
        <w:rPr>
          <w:rFonts w:ascii="仿宋" w:hAnsi="仿宋" w:eastAsia="仿宋"/>
          <w:color w:val="000000"/>
          <w:sz w:val="32"/>
          <w:szCs w:val="32"/>
        </w:rPr>
        <w:br w:type="page"/>
      </w:r>
      <w:bookmarkStart w:id="14" w:name="_Toc15396602"/>
      <w:bookmarkStart w:id="15" w:name="_Toc15377204"/>
      <w:r>
        <w:rPr>
          <w:rStyle w:val="24"/>
          <w:rFonts w:hint="eastAsia" w:ascii="方正小标宋简体" w:hAnsi="方正小标宋简体" w:eastAsia="方正小标宋简体" w:cs="方正小标宋简体"/>
          <w:b w:val="0"/>
          <w:bCs w:val="0"/>
        </w:rPr>
        <w:t xml:space="preserve">第二部分 </w:t>
      </w:r>
      <w:r>
        <w:rPr>
          <w:rFonts w:hint="eastAsia" w:eastAsia="仿宋_GB2312"/>
          <w:spacing w:val="-20"/>
          <w:sz w:val="44"/>
          <w:szCs w:val="44"/>
        </w:rPr>
        <w:t>2020</w:t>
      </w:r>
      <w:r>
        <w:rPr>
          <w:rStyle w:val="24"/>
          <w:rFonts w:hint="eastAsia" w:ascii="方正小标宋简体" w:hAnsi="方正小标宋简体" w:eastAsia="方正小标宋简体" w:cs="方正小标宋简体"/>
          <w:b w:val="0"/>
          <w:bCs w:val="0"/>
        </w:rPr>
        <w:t>年度部门决算情况说明</w:t>
      </w:r>
      <w:bookmarkEnd w:id="14"/>
      <w:bookmarkEnd w:id="15"/>
    </w:p>
    <w:p>
      <w:pPr>
        <w:spacing w:line="600" w:lineRule="exact"/>
      </w:pPr>
    </w:p>
    <w:p>
      <w:pPr>
        <w:pStyle w:val="23"/>
        <w:numPr>
          <w:ilvl w:val="0"/>
          <w:numId w:val="1"/>
        </w:numPr>
        <w:spacing w:line="560" w:lineRule="exact"/>
        <w:ind w:firstLineChars="0"/>
        <w:outlineLvl w:val="1"/>
        <w:rPr>
          <w:rStyle w:val="25"/>
          <w:rFonts w:ascii="黑体" w:hAnsi="黑体" w:eastAsia="黑体"/>
          <w:b w:val="0"/>
        </w:rPr>
      </w:pPr>
      <w:bookmarkStart w:id="16" w:name="_Toc15377205"/>
      <w:bookmarkStart w:id="17"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16"/>
      <w:bookmarkEnd w:id="17"/>
    </w:p>
    <w:p>
      <w:pPr>
        <w:spacing w:line="560" w:lineRule="exact"/>
        <w:ind w:firstLine="560" w:firstLineChars="200"/>
        <w:rPr>
          <w:rFonts w:ascii="仿宋" w:hAnsi="仿宋" w:eastAsia="仿宋" w:cs="仿宋_GB2312"/>
          <w:color w:val="000000"/>
          <w:sz w:val="32"/>
          <w:szCs w:val="32"/>
        </w:rPr>
      </w:pPr>
      <w:r>
        <w:rPr>
          <w:rFonts w:hint="eastAsia" w:ascii="仿宋" w:hAnsi="仿宋" w:eastAsia="仿宋"/>
          <w:spacing w:val="-20"/>
          <w:sz w:val="32"/>
          <w:szCs w:val="32"/>
        </w:rPr>
        <w:t>2020</w:t>
      </w:r>
      <w:r>
        <w:rPr>
          <w:rFonts w:hint="eastAsia" w:ascii="仿宋" w:hAnsi="仿宋" w:eastAsia="仿宋" w:cs="仿宋_GB2312"/>
          <w:color w:val="000000"/>
          <w:sz w:val="32"/>
          <w:szCs w:val="32"/>
        </w:rPr>
        <w:t>年度收、支总计</w:t>
      </w:r>
      <w:r>
        <w:rPr>
          <w:rFonts w:hint="eastAsia" w:ascii="仿宋" w:hAnsi="仿宋" w:eastAsia="仿宋"/>
          <w:spacing w:val="-20"/>
          <w:sz w:val="32"/>
          <w:szCs w:val="32"/>
        </w:rPr>
        <w:t>693</w:t>
      </w:r>
      <w:r>
        <w:rPr>
          <w:rFonts w:hint="eastAsia" w:ascii="仿宋" w:hAnsi="仿宋" w:eastAsia="仿宋" w:cs="仿宋_GB2312"/>
          <w:spacing w:val="-20"/>
          <w:sz w:val="32"/>
          <w:szCs w:val="32"/>
        </w:rPr>
        <w:t>.</w:t>
      </w:r>
      <w:r>
        <w:rPr>
          <w:rFonts w:hint="eastAsia" w:ascii="仿宋" w:hAnsi="仿宋" w:eastAsia="仿宋"/>
          <w:spacing w:val="-20"/>
          <w:sz w:val="32"/>
          <w:szCs w:val="32"/>
        </w:rPr>
        <w:t>23</w:t>
      </w:r>
      <w:r>
        <w:rPr>
          <w:rFonts w:hint="eastAsia" w:ascii="仿宋" w:hAnsi="仿宋" w:eastAsia="仿宋" w:cs="仿宋_GB2312"/>
          <w:color w:val="000000"/>
          <w:sz w:val="32"/>
          <w:szCs w:val="32"/>
        </w:rPr>
        <w:t>万元。与</w:t>
      </w:r>
      <w:r>
        <w:rPr>
          <w:rFonts w:hint="eastAsia" w:ascii="仿宋" w:hAnsi="仿宋" w:eastAsia="仿宋"/>
          <w:spacing w:val="-20"/>
          <w:sz w:val="32"/>
          <w:szCs w:val="32"/>
        </w:rPr>
        <w:t>2019</w:t>
      </w:r>
      <w:r>
        <w:rPr>
          <w:rFonts w:hint="eastAsia" w:ascii="仿宋" w:hAnsi="仿宋" w:eastAsia="仿宋" w:cs="仿宋_GB2312"/>
          <w:color w:val="000000"/>
          <w:sz w:val="32"/>
          <w:szCs w:val="32"/>
        </w:rPr>
        <w:t>年相比，收、支总计各减少</w:t>
      </w:r>
      <w:r>
        <w:rPr>
          <w:rFonts w:hint="eastAsia" w:ascii="仿宋" w:hAnsi="仿宋" w:eastAsia="仿宋"/>
          <w:spacing w:val="-20"/>
          <w:sz w:val="32"/>
          <w:szCs w:val="32"/>
        </w:rPr>
        <w:t>139.91</w:t>
      </w:r>
      <w:r>
        <w:rPr>
          <w:rFonts w:hint="eastAsia" w:ascii="仿宋" w:hAnsi="仿宋" w:eastAsia="仿宋" w:cs="仿宋_GB2312"/>
          <w:color w:val="000000"/>
          <w:sz w:val="32"/>
          <w:szCs w:val="32"/>
        </w:rPr>
        <w:t>万元，下降</w:t>
      </w:r>
      <w:r>
        <w:rPr>
          <w:rFonts w:hint="eastAsia" w:ascii="仿宋" w:hAnsi="仿宋" w:eastAsia="仿宋"/>
          <w:spacing w:val="-20"/>
          <w:sz w:val="32"/>
          <w:szCs w:val="32"/>
        </w:rPr>
        <w:t>16.79%</w:t>
      </w:r>
      <w:r>
        <w:rPr>
          <w:rFonts w:hint="eastAsia" w:ascii="仿宋" w:hAnsi="仿宋" w:eastAsia="仿宋" w:cs="仿宋_GB2312"/>
          <w:color w:val="000000"/>
          <w:sz w:val="32"/>
          <w:szCs w:val="32"/>
        </w:rPr>
        <w:t>。主要变动原因是严格支出管理，优化支出结构调整，将省委省政府过紧日子精神落到实处。</w:t>
      </w: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（图</w:t>
      </w:r>
      <w:r>
        <w:rPr>
          <w:rFonts w:hint="eastAsia" w:ascii="仿宋" w:hAnsi="仿宋" w:eastAsia="仿宋"/>
          <w:spacing w:val="-20"/>
          <w:sz w:val="32"/>
          <w:szCs w:val="32"/>
        </w:rPr>
        <w:t>1</w:t>
      </w:r>
      <w:r>
        <w:rPr>
          <w:rFonts w:hint="eastAsia" w:ascii="仿宋" w:hAnsi="仿宋" w:eastAsia="仿宋" w:cs="仿宋_GB2312"/>
          <w:color w:val="000000" w:themeColor="text1"/>
          <w:sz w:val="32"/>
          <w:szCs w:val="32"/>
        </w:rPr>
        <w:t>：收、支决算总计变动情况图）（柱状图）</w:t>
      </w:r>
    </w:p>
    <w:p>
      <w:pPr>
        <w:ind w:firstLine="640" w:firstLineChars="200"/>
        <w:jc w:val="left"/>
        <w:rPr>
          <w:rFonts w:ascii="仿宋_GB2312" w:eastAsia="仿宋_GB2312"/>
          <w:color w:val="000000"/>
          <w:sz w:val="32"/>
          <w:szCs w:val="32"/>
        </w:rPr>
      </w:pPr>
      <w:r>
        <w:rPr>
          <w:rFonts w:ascii="仿宋_GB2312" w:eastAsia="仿宋_GB2312"/>
          <w:color w:val="000000"/>
          <w:sz w:val="32"/>
          <w:szCs w:val="32"/>
        </w:rPr>
        <w:drawing>
          <wp:inline distT="0" distB="0" distL="0" distR="0">
            <wp:extent cx="4181475" cy="2714625"/>
            <wp:effectExtent l="19050" t="0" r="9525" b="0"/>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560" w:lineRule="exact"/>
        <w:ind w:firstLine="640" w:firstLineChars="200"/>
        <w:jc w:val="left"/>
        <w:rPr>
          <w:rFonts w:ascii="仿宋_GB2312" w:eastAsia="仿宋_GB2312"/>
          <w:color w:val="000000"/>
          <w:sz w:val="32"/>
          <w:szCs w:val="32"/>
        </w:rPr>
      </w:pPr>
    </w:p>
    <w:p>
      <w:pPr>
        <w:pStyle w:val="23"/>
        <w:numPr>
          <w:ilvl w:val="0"/>
          <w:numId w:val="1"/>
        </w:numPr>
        <w:spacing w:line="560" w:lineRule="exact"/>
        <w:ind w:firstLineChars="0"/>
        <w:outlineLvl w:val="1"/>
        <w:rPr>
          <w:rStyle w:val="25"/>
          <w:rFonts w:ascii="黑体" w:hAnsi="黑体" w:eastAsia="黑体"/>
          <w:b w:val="0"/>
        </w:rPr>
      </w:pPr>
      <w:bookmarkStart w:id="18" w:name="_Toc15377206"/>
      <w:bookmarkStart w:id="19"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18"/>
      <w:bookmarkEnd w:id="19"/>
    </w:p>
    <w:p>
      <w:pPr>
        <w:spacing w:line="560" w:lineRule="exact"/>
        <w:ind w:firstLine="560" w:firstLineChars="200"/>
        <w:outlineLvl w:val="1"/>
        <w:rPr>
          <w:rFonts w:ascii="仿宋" w:hAnsi="仿宋" w:eastAsia="仿宋" w:cs="仿宋_GB2312"/>
          <w:color w:val="000000"/>
          <w:sz w:val="32"/>
          <w:szCs w:val="32"/>
        </w:rPr>
      </w:pPr>
      <w:r>
        <w:rPr>
          <w:rFonts w:hint="eastAsia" w:ascii="仿宋" w:hAnsi="仿宋" w:eastAsia="仿宋"/>
          <w:spacing w:val="-20"/>
          <w:sz w:val="32"/>
          <w:szCs w:val="32"/>
        </w:rPr>
        <w:t>2020</w:t>
      </w:r>
      <w:r>
        <w:rPr>
          <w:rFonts w:hint="eastAsia" w:ascii="仿宋" w:hAnsi="仿宋" w:eastAsia="仿宋" w:cs="仿宋_GB2312"/>
          <w:color w:val="000000"/>
          <w:sz w:val="32"/>
          <w:szCs w:val="32"/>
        </w:rPr>
        <w:t>年本年收入合计</w:t>
      </w:r>
      <w:r>
        <w:rPr>
          <w:rFonts w:hint="eastAsia" w:ascii="仿宋" w:hAnsi="仿宋" w:eastAsia="仿宋"/>
          <w:spacing w:val="-20"/>
          <w:sz w:val="32"/>
          <w:szCs w:val="32"/>
        </w:rPr>
        <w:t>693.23</w:t>
      </w:r>
      <w:r>
        <w:rPr>
          <w:rFonts w:hint="eastAsia" w:ascii="仿宋" w:hAnsi="仿宋" w:eastAsia="仿宋" w:cs="仿宋_GB2312"/>
          <w:color w:val="000000"/>
          <w:sz w:val="32"/>
          <w:szCs w:val="32"/>
        </w:rPr>
        <w:t>万元，其中：一般公共预算财政拨款收入</w:t>
      </w:r>
      <w:r>
        <w:rPr>
          <w:rFonts w:hint="eastAsia" w:ascii="仿宋" w:hAnsi="仿宋" w:eastAsia="仿宋"/>
          <w:spacing w:val="-20"/>
          <w:sz w:val="32"/>
          <w:szCs w:val="32"/>
        </w:rPr>
        <w:t>689.09</w:t>
      </w:r>
      <w:r>
        <w:rPr>
          <w:rFonts w:hint="eastAsia" w:ascii="仿宋" w:hAnsi="仿宋" w:eastAsia="仿宋" w:cs="仿宋_GB2312"/>
          <w:color w:val="000000"/>
          <w:sz w:val="32"/>
          <w:szCs w:val="32"/>
        </w:rPr>
        <w:t>万元，占</w:t>
      </w:r>
      <w:r>
        <w:rPr>
          <w:rFonts w:hint="eastAsia" w:ascii="仿宋" w:hAnsi="仿宋" w:eastAsia="仿宋"/>
          <w:spacing w:val="-20"/>
          <w:sz w:val="32"/>
          <w:szCs w:val="32"/>
        </w:rPr>
        <w:t>99.40%</w:t>
      </w:r>
      <w:r>
        <w:rPr>
          <w:rFonts w:hint="eastAsia" w:ascii="仿宋" w:hAnsi="仿宋" w:eastAsia="仿宋" w:cs="仿宋_GB2312"/>
          <w:color w:val="000000"/>
          <w:sz w:val="32"/>
          <w:szCs w:val="32"/>
        </w:rPr>
        <w:t>；政府性基金预算财政拨款收入</w:t>
      </w:r>
      <w:r>
        <w:rPr>
          <w:rFonts w:hint="eastAsia" w:ascii="仿宋" w:hAnsi="仿宋" w:eastAsia="仿宋"/>
          <w:spacing w:val="-20"/>
          <w:sz w:val="32"/>
          <w:szCs w:val="32"/>
        </w:rPr>
        <w:t>0</w:t>
      </w:r>
      <w:r>
        <w:rPr>
          <w:rFonts w:hint="eastAsia" w:ascii="仿宋" w:hAnsi="仿宋" w:eastAsia="仿宋" w:cs="仿宋_GB2312"/>
          <w:color w:val="000000"/>
          <w:sz w:val="32"/>
          <w:szCs w:val="32"/>
        </w:rPr>
        <w:t>万元，占</w:t>
      </w:r>
      <w:r>
        <w:rPr>
          <w:rFonts w:hint="eastAsia" w:ascii="仿宋" w:hAnsi="仿宋" w:eastAsia="仿宋"/>
          <w:spacing w:val="-20"/>
          <w:sz w:val="32"/>
          <w:szCs w:val="32"/>
        </w:rPr>
        <w:t>0%</w:t>
      </w:r>
      <w:r>
        <w:rPr>
          <w:rFonts w:hint="eastAsia" w:ascii="仿宋" w:hAnsi="仿宋" w:eastAsia="仿宋" w:cs="仿宋_GB2312"/>
          <w:color w:val="000000"/>
          <w:sz w:val="32"/>
          <w:szCs w:val="32"/>
        </w:rPr>
        <w:t>；</w:t>
      </w:r>
      <w:r>
        <w:rPr>
          <w:rFonts w:hint="eastAsia" w:ascii="仿宋" w:hAnsi="仿宋" w:eastAsia="仿宋" w:cs="仿宋_GB2312"/>
          <w:color w:val="000000" w:themeColor="text1"/>
          <w:sz w:val="32"/>
          <w:szCs w:val="32"/>
        </w:rPr>
        <w:t>上级补助收入</w:t>
      </w:r>
      <w:r>
        <w:rPr>
          <w:rFonts w:hint="eastAsia" w:ascii="仿宋" w:hAnsi="仿宋" w:eastAsia="仿宋"/>
          <w:spacing w:val="-20"/>
          <w:sz w:val="32"/>
          <w:szCs w:val="32"/>
        </w:rPr>
        <w:t>0</w:t>
      </w:r>
      <w:r>
        <w:rPr>
          <w:rFonts w:hint="eastAsia" w:ascii="仿宋" w:hAnsi="仿宋" w:eastAsia="仿宋" w:cs="仿宋_GB2312"/>
          <w:color w:val="000000" w:themeColor="text1"/>
          <w:sz w:val="32"/>
          <w:szCs w:val="32"/>
        </w:rPr>
        <w:t>万元</w:t>
      </w:r>
      <w:r>
        <w:rPr>
          <w:rFonts w:hint="eastAsia" w:ascii="仿宋" w:hAnsi="仿宋" w:eastAsia="仿宋" w:cs="仿宋_GB2312"/>
          <w:color w:val="000000"/>
          <w:sz w:val="32"/>
          <w:szCs w:val="32"/>
        </w:rPr>
        <w:t>，占</w:t>
      </w:r>
      <w:r>
        <w:rPr>
          <w:rFonts w:hint="eastAsia" w:ascii="仿宋" w:hAnsi="仿宋" w:eastAsia="仿宋"/>
          <w:spacing w:val="-20"/>
          <w:sz w:val="32"/>
          <w:szCs w:val="32"/>
        </w:rPr>
        <w:t>0%</w:t>
      </w:r>
      <w:r>
        <w:rPr>
          <w:rFonts w:hint="eastAsia" w:ascii="仿宋" w:hAnsi="仿宋" w:eastAsia="仿宋" w:cs="仿宋_GB2312"/>
          <w:color w:val="000000"/>
          <w:sz w:val="32"/>
          <w:szCs w:val="32"/>
        </w:rPr>
        <w:t>；事业收入</w:t>
      </w:r>
      <w:r>
        <w:rPr>
          <w:rFonts w:hint="eastAsia" w:ascii="仿宋" w:hAnsi="仿宋" w:eastAsia="仿宋"/>
          <w:spacing w:val="-20"/>
          <w:sz w:val="32"/>
          <w:szCs w:val="32"/>
        </w:rPr>
        <w:t>0</w:t>
      </w:r>
      <w:r>
        <w:rPr>
          <w:rFonts w:hint="eastAsia" w:ascii="仿宋" w:hAnsi="仿宋" w:eastAsia="仿宋" w:cs="仿宋_GB2312"/>
          <w:color w:val="000000"/>
          <w:sz w:val="32"/>
          <w:szCs w:val="32"/>
        </w:rPr>
        <w:t>万元，占</w:t>
      </w:r>
      <w:r>
        <w:rPr>
          <w:rFonts w:hint="eastAsia" w:ascii="仿宋" w:hAnsi="仿宋" w:eastAsia="仿宋"/>
          <w:spacing w:val="-20"/>
          <w:sz w:val="32"/>
          <w:szCs w:val="32"/>
        </w:rPr>
        <w:t>100%</w:t>
      </w:r>
      <w:r>
        <w:rPr>
          <w:rFonts w:hint="eastAsia" w:ascii="仿宋" w:hAnsi="仿宋" w:eastAsia="仿宋" w:cs="仿宋_GB2312"/>
          <w:color w:val="000000"/>
          <w:sz w:val="32"/>
          <w:szCs w:val="32"/>
        </w:rPr>
        <w:t>；经营收入</w:t>
      </w:r>
      <w:r>
        <w:rPr>
          <w:rFonts w:hint="eastAsia" w:ascii="仿宋" w:hAnsi="仿宋" w:eastAsia="仿宋"/>
          <w:spacing w:val="-20"/>
          <w:sz w:val="32"/>
          <w:szCs w:val="32"/>
        </w:rPr>
        <w:t>0</w:t>
      </w:r>
      <w:r>
        <w:rPr>
          <w:rFonts w:hint="eastAsia" w:ascii="仿宋" w:hAnsi="仿宋" w:eastAsia="仿宋" w:cs="仿宋_GB2312"/>
          <w:color w:val="000000"/>
          <w:sz w:val="32"/>
          <w:szCs w:val="32"/>
        </w:rPr>
        <w:t>万元，占</w:t>
      </w:r>
      <w:r>
        <w:rPr>
          <w:rFonts w:hint="eastAsia" w:ascii="仿宋" w:hAnsi="仿宋" w:eastAsia="仿宋"/>
          <w:spacing w:val="-20"/>
          <w:sz w:val="32"/>
          <w:szCs w:val="32"/>
        </w:rPr>
        <w:t>0%</w:t>
      </w:r>
      <w:r>
        <w:rPr>
          <w:rFonts w:hint="eastAsia" w:ascii="仿宋" w:hAnsi="仿宋" w:eastAsia="仿宋" w:cs="仿宋_GB2312"/>
          <w:color w:val="000000"/>
          <w:sz w:val="32"/>
          <w:szCs w:val="32"/>
        </w:rPr>
        <w:t>；附属单位上缴收入</w:t>
      </w:r>
      <w:r>
        <w:rPr>
          <w:rFonts w:hint="eastAsia" w:ascii="仿宋" w:hAnsi="仿宋" w:eastAsia="仿宋"/>
          <w:spacing w:val="-20"/>
          <w:sz w:val="32"/>
          <w:szCs w:val="32"/>
        </w:rPr>
        <w:t>0</w:t>
      </w:r>
      <w:r>
        <w:rPr>
          <w:rFonts w:hint="eastAsia" w:ascii="仿宋" w:hAnsi="仿宋" w:eastAsia="仿宋" w:cs="仿宋_GB2312"/>
          <w:color w:val="000000"/>
          <w:sz w:val="32"/>
          <w:szCs w:val="32"/>
        </w:rPr>
        <w:t>万元，占</w:t>
      </w:r>
      <w:r>
        <w:rPr>
          <w:rFonts w:hint="eastAsia" w:ascii="仿宋" w:hAnsi="仿宋" w:eastAsia="仿宋"/>
          <w:spacing w:val="-20"/>
          <w:sz w:val="32"/>
          <w:szCs w:val="32"/>
        </w:rPr>
        <w:t>0%</w:t>
      </w:r>
      <w:r>
        <w:rPr>
          <w:rFonts w:hint="eastAsia" w:ascii="仿宋" w:hAnsi="仿宋" w:eastAsia="仿宋" w:cs="仿宋_GB2312"/>
          <w:color w:val="000000"/>
          <w:sz w:val="32"/>
          <w:szCs w:val="32"/>
        </w:rPr>
        <w:t>；其他收入</w:t>
      </w:r>
      <w:r>
        <w:rPr>
          <w:rFonts w:hint="eastAsia" w:ascii="仿宋" w:hAnsi="仿宋" w:eastAsia="仿宋"/>
          <w:spacing w:val="-20"/>
          <w:sz w:val="32"/>
          <w:szCs w:val="32"/>
        </w:rPr>
        <w:t>4.14</w:t>
      </w:r>
      <w:r>
        <w:rPr>
          <w:rFonts w:hint="eastAsia" w:ascii="仿宋" w:hAnsi="仿宋" w:eastAsia="仿宋" w:cs="仿宋_GB2312"/>
          <w:color w:val="000000"/>
          <w:sz w:val="32"/>
          <w:szCs w:val="32"/>
        </w:rPr>
        <w:t>万元，占</w:t>
      </w:r>
      <w:r>
        <w:rPr>
          <w:rFonts w:hint="eastAsia" w:ascii="仿宋" w:hAnsi="仿宋" w:eastAsia="仿宋"/>
          <w:spacing w:val="-20"/>
          <w:sz w:val="32"/>
          <w:szCs w:val="32"/>
        </w:rPr>
        <w:t>0.6%</w:t>
      </w:r>
      <w:r>
        <w:rPr>
          <w:rFonts w:hint="eastAsia" w:ascii="仿宋" w:hAnsi="仿宋" w:eastAsia="仿宋" w:cs="仿宋_GB2312"/>
          <w:color w:val="000000"/>
          <w:sz w:val="32"/>
          <w:szCs w:val="32"/>
        </w:rPr>
        <w:t>。</w:t>
      </w:r>
    </w:p>
    <w:p>
      <w:pPr>
        <w:spacing w:line="560" w:lineRule="exact"/>
        <w:ind w:firstLine="640" w:firstLineChars="200"/>
        <w:rPr>
          <w:rFonts w:ascii="仿宋" w:hAnsi="仿宋" w:eastAsia="仿宋"/>
          <w:color w:val="000000" w:themeColor="text1"/>
          <w:sz w:val="32"/>
          <w:szCs w:val="32"/>
        </w:rPr>
      </w:pP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（图</w:t>
      </w:r>
      <w:r>
        <w:rPr>
          <w:rFonts w:hint="eastAsia" w:ascii="仿宋" w:hAnsi="仿宋" w:eastAsia="仿宋"/>
          <w:spacing w:val="-20"/>
          <w:sz w:val="32"/>
          <w:szCs w:val="32"/>
        </w:rPr>
        <w:t>2</w:t>
      </w:r>
      <w:r>
        <w:rPr>
          <w:rFonts w:hint="eastAsia" w:ascii="仿宋" w:hAnsi="仿宋" w:eastAsia="仿宋" w:cs="仿宋_GB2312"/>
          <w:color w:val="000000" w:themeColor="text1"/>
          <w:sz w:val="32"/>
          <w:szCs w:val="32"/>
        </w:rPr>
        <w:t>：收入决算结构图）（饼状图）</w:t>
      </w:r>
    </w:p>
    <w:p>
      <w:pPr>
        <w:spacing w:line="600" w:lineRule="exact"/>
        <w:ind w:firstLine="640" w:firstLineChars="200"/>
        <w:rPr>
          <w:rFonts w:ascii="仿宋_GB2312" w:eastAsia="仿宋_GB2312"/>
          <w:color w:val="FF0000"/>
          <w:sz w:val="32"/>
          <w:szCs w:val="32"/>
        </w:rPr>
      </w:pPr>
    </w:p>
    <w:p>
      <w:pPr>
        <w:ind w:firstLine="640" w:firstLineChars="200"/>
        <w:rPr>
          <w:rFonts w:ascii="仿宋_GB2312" w:eastAsia="仿宋_GB2312"/>
          <w:color w:val="FF0000"/>
          <w:sz w:val="32"/>
          <w:szCs w:val="32"/>
        </w:rPr>
      </w:pPr>
      <w:r>
        <w:rPr>
          <w:rFonts w:ascii="仿宋_GB2312" w:eastAsia="仿宋_GB2312"/>
          <w:color w:val="FF0000"/>
          <w:sz w:val="32"/>
          <w:szCs w:val="32"/>
        </w:rPr>
        <w:drawing>
          <wp:inline distT="0" distB="0" distL="0" distR="0">
            <wp:extent cx="4414520" cy="2613660"/>
            <wp:effectExtent l="19050" t="0" r="23723" b="0"/>
            <wp:docPr id="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rPr>
          <w:rFonts w:ascii="仿宋_GB2312" w:eastAsia="仿宋_GB2312"/>
          <w:color w:val="FF0000"/>
          <w:sz w:val="32"/>
          <w:szCs w:val="32"/>
        </w:rPr>
      </w:pPr>
    </w:p>
    <w:p>
      <w:pPr>
        <w:pStyle w:val="23"/>
        <w:numPr>
          <w:ilvl w:val="0"/>
          <w:numId w:val="1"/>
        </w:numPr>
        <w:spacing w:line="560" w:lineRule="exact"/>
        <w:ind w:firstLineChars="0"/>
        <w:outlineLvl w:val="1"/>
        <w:rPr>
          <w:rStyle w:val="25"/>
          <w:rFonts w:ascii="黑体" w:hAnsi="黑体" w:eastAsia="黑体"/>
          <w:b w:val="0"/>
        </w:rPr>
      </w:pPr>
      <w:bookmarkStart w:id="20" w:name="_Toc15396605"/>
      <w:bookmarkStart w:id="21"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0"/>
      <w:bookmarkEnd w:id="21"/>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2020年本年支出合计693.23万元，其中：基本支出242.30万元，占34.95%；项目支出450.93万元，占65.05%；上缴上级支出0万元，占0%；经营支出0万元，占0%；对附属单位补助支出0万元，占0%。</w:t>
      </w:r>
    </w:p>
    <w:p>
      <w:pPr>
        <w:spacing w:line="560" w:lineRule="exact"/>
        <w:ind w:firstLine="640" w:firstLineChars="200"/>
        <w:rPr>
          <w:rFonts w:ascii="仿宋" w:hAnsi="仿宋" w:eastAsia="仿宋" w:cs="仿宋_GB2312"/>
          <w:color w:val="000000" w:themeColor="text1"/>
          <w:sz w:val="32"/>
          <w:szCs w:val="32"/>
        </w:rPr>
      </w:pP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（图3：支出决算结构图）（饼状图）</w:t>
      </w:r>
    </w:p>
    <w:p>
      <w:pPr>
        <w:ind w:firstLine="640" w:firstLineChars="200"/>
        <w:rPr>
          <w:rFonts w:ascii="仿宋_GB2312" w:eastAsia="仿宋_GB2312"/>
          <w:color w:val="FF0000"/>
          <w:sz w:val="32"/>
          <w:szCs w:val="32"/>
        </w:rPr>
      </w:pPr>
      <w:r>
        <w:rPr>
          <w:rFonts w:ascii="仿宋_GB2312" w:eastAsia="仿宋_GB2312"/>
          <w:color w:val="FF0000"/>
          <w:sz w:val="32"/>
          <w:szCs w:val="32"/>
        </w:rPr>
        <w:drawing>
          <wp:inline distT="0" distB="0" distL="0" distR="0">
            <wp:extent cx="4572000" cy="2743200"/>
            <wp:effectExtent l="19050" t="0" r="19050" b="0"/>
            <wp:docPr id="11"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_GB2312" w:eastAsia="仿宋_GB2312"/>
          <w:color w:val="FF0000"/>
          <w:sz w:val="32"/>
          <w:szCs w:val="32"/>
        </w:rPr>
      </w:pPr>
    </w:p>
    <w:p>
      <w:pPr>
        <w:spacing w:line="560" w:lineRule="exact"/>
        <w:ind w:firstLine="640" w:firstLineChars="200"/>
        <w:outlineLvl w:val="1"/>
        <w:rPr>
          <w:rStyle w:val="25"/>
          <w:rFonts w:ascii="黑体" w:hAnsi="黑体" w:eastAsia="黑体"/>
          <w:b w:val="0"/>
        </w:rPr>
      </w:pPr>
      <w:bookmarkStart w:id="22" w:name="_Toc15396606"/>
      <w:bookmarkStart w:id="23"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22"/>
      <w:bookmarkEnd w:id="23"/>
    </w:p>
    <w:p>
      <w:pPr>
        <w:spacing w:line="560" w:lineRule="exact"/>
        <w:ind w:firstLine="560" w:firstLineChars="200"/>
        <w:rPr>
          <w:rFonts w:ascii="仿宋" w:hAnsi="仿宋" w:eastAsia="仿宋" w:cs="仿宋_GB2312"/>
          <w:color w:val="000000"/>
          <w:sz w:val="32"/>
          <w:szCs w:val="32"/>
        </w:rPr>
      </w:pPr>
      <w:r>
        <w:rPr>
          <w:rFonts w:hint="eastAsia" w:ascii="仿宋" w:hAnsi="仿宋" w:eastAsia="仿宋"/>
          <w:spacing w:val="-20"/>
          <w:sz w:val="32"/>
          <w:szCs w:val="32"/>
        </w:rPr>
        <w:t>2020</w:t>
      </w:r>
      <w:r>
        <w:rPr>
          <w:rFonts w:hint="eastAsia" w:ascii="仿宋" w:hAnsi="仿宋" w:eastAsia="仿宋" w:cs="仿宋_GB2312"/>
          <w:color w:val="000000"/>
          <w:sz w:val="32"/>
          <w:szCs w:val="32"/>
        </w:rPr>
        <w:t>年财政拨款收、支总计</w:t>
      </w:r>
      <w:r>
        <w:rPr>
          <w:rFonts w:hint="eastAsia" w:ascii="仿宋" w:hAnsi="仿宋" w:eastAsia="仿宋"/>
          <w:spacing w:val="-20"/>
          <w:sz w:val="32"/>
          <w:szCs w:val="32"/>
        </w:rPr>
        <w:t>689.09</w:t>
      </w:r>
      <w:r>
        <w:rPr>
          <w:rFonts w:hint="eastAsia" w:ascii="仿宋" w:hAnsi="仿宋" w:eastAsia="仿宋" w:cs="仿宋_GB2312"/>
          <w:color w:val="000000"/>
          <w:sz w:val="32"/>
          <w:szCs w:val="32"/>
        </w:rPr>
        <w:t>万元。与</w:t>
      </w:r>
      <w:r>
        <w:rPr>
          <w:rFonts w:hint="eastAsia" w:ascii="仿宋" w:hAnsi="仿宋" w:eastAsia="仿宋"/>
          <w:spacing w:val="-20"/>
          <w:sz w:val="32"/>
          <w:szCs w:val="32"/>
        </w:rPr>
        <w:t>2019</w:t>
      </w:r>
      <w:r>
        <w:rPr>
          <w:rFonts w:hint="eastAsia" w:ascii="仿宋" w:hAnsi="仿宋" w:eastAsia="仿宋" w:cs="仿宋_GB2312"/>
          <w:color w:val="000000"/>
          <w:sz w:val="32"/>
          <w:szCs w:val="32"/>
        </w:rPr>
        <w:t>年相比，财政拨款收、支总计各减少</w:t>
      </w:r>
      <w:r>
        <w:rPr>
          <w:rFonts w:hint="eastAsia" w:ascii="仿宋" w:hAnsi="仿宋" w:eastAsia="仿宋"/>
          <w:spacing w:val="-20"/>
          <w:sz w:val="32"/>
          <w:szCs w:val="32"/>
        </w:rPr>
        <w:t>141.29</w:t>
      </w:r>
      <w:r>
        <w:rPr>
          <w:rFonts w:hint="eastAsia" w:ascii="仿宋" w:hAnsi="仿宋" w:eastAsia="仿宋" w:cs="仿宋_GB2312"/>
          <w:color w:val="000000"/>
          <w:sz w:val="32"/>
          <w:szCs w:val="32"/>
        </w:rPr>
        <w:t>万元，下降</w:t>
      </w:r>
      <w:r>
        <w:rPr>
          <w:rFonts w:hint="eastAsia" w:ascii="仿宋" w:hAnsi="仿宋" w:eastAsia="仿宋"/>
          <w:spacing w:val="-20"/>
          <w:sz w:val="32"/>
          <w:szCs w:val="32"/>
        </w:rPr>
        <w:t>17.02%</w:t>
      </w:r>
      <w:r>
        <w:rPr>
          <w:rFonts w:hint="eastAsia" w:ascii="仿宋" w:hAnsi="仿宋" w:eastAsia="仿宋" w:cs="仿宋_GB2312"/>
          <w:color w:val="000000"/>
          <w:sz w:val="32"/>
          <w:szCs w:val="32"/>
        </w:rPr>
        <w:t>。主要变动原因是严格支出管理，优化支出结构调整，将省委省政府过紧日子精神落到实处。</w:t>
      </w:r>
    </w:p>
    <w:p>
      <w:pPr>
        <w:spacing w:line="560" w:lineRule="exact"/>
        <w:rPr>
          <w:rFonts w:ascii="仿宋" w:hAnsi="仿宋" w:eastAsia="仿宋"/>
          <w:color w:val="000000"/>
          <w:sz w:val="32"/>
          <w:szCs w:val="32"/>
        </w:rPr>
      </w:pPr>
    </w:p>
    <w:p>
      <w:pPr>
        <w:spacing w:line="560" w:lineRule="exact"/>
        <w:ind w:firstLine="640" w:firstLineChars="200"/>
        <w:rPr>
          <w:rFonts w:ascii="仿宋" w:hAnsi="仿宋" w:eastAsia="仿宋" w:cs="仿宋_GB2312"/>
          <w:color w:val="000000" w:themeColor="text1"/>
          <w:sz w:val="32"/>
          <w:szCs w:val="32"/>
        </w:rPr>
      </w:pPr>
      <w:r>
        <w:rPr>
          <w:rFonts w:hint="eastAsia" w:ascii="仿宋" w:hAnsi="仿宋" w:eastAsia="仿宋" w:cs="仿宋_GB2312"/>
          <w:color w:val="000000" w:themeColor="text1"/>
          <w:sz w:val="32"/>
          <w:szCs w:val="32"/>
        </w:rPr>
        <w:t>（图</w:t>
      </w:r>
      <w:r>
        <w:rPr>
          <w:rFonts w:hint="eastAsia" w:ascii="仿宋" w:hAnsi="仿宋" w:eastAsia="仿宋"/>
          <w:spacing w:val="-20"/>
          <w:sz w:val="32"/>
          <w:szCs w:val="32"/>
        </w:rPr>
        <w:t>4</w:t>
      </w:r>
      <w:r>
        <w:rPr>
          <w:rFonts w:hint="eastAsia" w:ascii="仿宋" w:hAnsi="仿宋" w:eastAsia="仿宋" w:cs="仿宋_GB2312"/>
          <w:color w:val="000000" w:themeColor="text1"/>
          <w:sz w:val="32"/>
          <w:szCs w:val="32"/>
        </w:rPr>
        <w:t>：财政拨款收、支决算总计变动情况）（柱状图）</w:t>
      </w:r>
    </w:p>
    <w:p>
      <w:pPr>
        <w:ind w:firstLine="641"/>
        <w:rPr>
          <w:rFonts w:ascii="仿宋" w:hAnsi="仿宋" w:eastAsia="仿宋"/>
          <w:b/>
          <w:color w:val="00B050"/>
          <w:sz w:val="32"/>
          <w:szCs w:val="32"/>
        </w:rPr>
      </w:pPr>
      <w:r>
        <w:rPr>
          <w:rFonts w:ascii="仿宋" w:hAnsi="仿宋" w:eastAsia="仿宋"/>
          <w:b/>
          <w:color w:val="00B050"/>
          <w:sz w:val="32"/>
          <w:szCs w:val="32"/>
        </w:rPr>
        <w:drawing>
          <wp:inline distT="0" distB="0" distL="0" distR="0">
            <wp:extent cx="4572000" cy="2743200"/>
            <wp:effectExtent l="19050" t="0" r="19050" b="0"/>
            <wp:docPr id="12"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560" w:lineRule="exact"/>
        <w:ind w:firstLine="640" w:firstLineChars="200"/>
        <w:outlineLvl w:val="1"/>
        <w:rPr>
          <w:rStyle w:val="25"/>
          <w:rFonts w:ascii="黑体" w:hAnsi="黑体" w:eastAsia="黑体"/>
          <w:b w:val="0"/>
        </w:rPr>
      </w:pPr>
      <w:bookmarkStart w:id="24" w:name="_Toc15396607"/>
      <w:bookmarkStart w:id="25"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24"/>
      <w:bookmarkEnd w:id="25"/>
    </w:p>
    <w:p>
      <w:pPr>
        <w:spacing w:line="560" w:lineRule="exact"/>
        <w:ind w:firstLine="642" w:firstLineChars="200"/>
        <w:outlineLvl w:val="2"/>
        <w:rPr>
          <w:rFonts w:ascii="仿宋" w:hAnsi="仿宋" w:eastAsia="仿宋"/>
          <w:b/>
          <w:color w:val="000000"/>
          <w:sz w:val="32"/>
          <w:szCs w:val="32"/>
        </w:rPr>
      </w:pPr>
      <w:bookmarkStart w:id="26" w:name="_Toc15377210"/>
      <w:r>
        <w:rPr>
          <w:rFonts w:hint="eastAsia" w:ascii="楷体_GB2312" w:hAnsi="楷体_GB2312" w:eastAsia="楷体_GB2312" w:cs="楷体_GB2312"/>
          <w:b/>
          <w:color w:val="000000"/>
          <w:sz w:val="32"/>
          <w:szCs w:val="32"/>
        </w:rPr>
        <w:t>（一）一般公共预算财政拨款支出决算总体情况</w:t>
      </w:r>
      <w:bookmarkEnd w:id="26"/>
    </w:p>
    <w:p>
      <w:pPr>
        <w:spacing w:line="560" w:lineRule="exact"/>
        <w:ind w:firstLine="560" w:firstLineChars="200"/>
        <w:rPr>
          <w:rFonts w:ascii="仿宋" w:hAnsi="仿宋" w:eastAsia="仿宋"/>
          <w:spacing w:val="-20"/>
          <w:sz w:val="32"/>
          <w:szCs w:val="32"/>
        </w:rPr>
      </w:pPr>
      <w:r>
        <w:rPr>
          <w:rFonts w:hint="eastAsia" w:ascii="仿宋" w:hAnsi="仿宋" w:eastAsia="仿宋"/>
          <w:spacing w:val="-20"/>
          <w:sz w:val="32"/>
          <w:szCs w:val="32"/>
        </w:rPr>
        <w:t>2020年一般公共预算财政拨款支出689.09万元，占本年支出合计的99.4%。与2019年相比，一般公共预算财政拨款减少141.29万元，下降17.02%。主要变动原因是严格支出管理，优化支出结构调整，将省委省政府过紧日子精神落到实处。</w:t>
      </w:r>
    </w:p>
    <w:p>
      <w:pPr>
        <w:spacing w:line="560" w:lineRule="exact"/>
        <w:ind w:firstLine="560" w:firstLineChars="200"/>
        <w:rPr>
          <w:rFonts w:ascii="仿宋" w:hAnsi="仿宋" w:eastAsia="仿宋"/>
          <w:spacing w:val="-20"/>
          <w:sz w:val="32"/>
          <w:szCs w:val="32"/>
        </w:rPr>
      </w:pPr>
      <w:r>
        <w:rPr>
          <w:rFonts w:hint="eastAsia" w:ascii="仿宋" w:hAnsi="仿宋" w:eastAsia="仿宋"/>
          <w:spacing w:val="-20"/>
          <w:sz w:val="32"/>
          <w:szCs w:val="32"/>
        </w:rPr>
        <w:t>（图5：一般公共预算财政拨款支出决算变动情况）（柱状图）</w:t>
      </w:r>
    </w:p>
    <w:p>
      <w:pPr>
        <w:spacing w:line="560" w:lineRule="exact"/>
        <w:ind w:firstLine="640" w:firstLineChars="200"/>
        <w:rPr>
          <w:rFonts w:ascii="仿宋" w:hAnsi="仿宋" w:eastAsia="仿宋"/>
          <w:color w:val="000000" w:themeColor="text1"/>
          <w:sz w:val="32"/>
          <w:szCs w:val="32"/>
        </w:rPr>
      </w:pPr>
    </w:p>
    <w:p>
      <w:pPr>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drawing>
          <wp:inline distT="0" distB="0" distL="0" distR="0">
            <wp:extent cx="4629150" cy="2000250"/>
            <wp:effectExtent l="19050" t="0" r="19050" b="0"/>
            <wp:docPr id="14"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2" w:firstLineChars="200"/>
        <w:outlineLvl w:val="2"/>
        <w:rPr>
          <w:rFonts w:ascii="楷体_GB2312" w:hAnsi="楷体_GB2312" w:eastAsia="楷体_GB2312" w:cs="楷体_GB2312"/>
          <w:b/>
          <w:color w:val="000000"/>
          <w:sz w:val="32"/>
          <w:szCs w:val="32"/>
        </w:rPr>
      </w:pPr>
      <w:bookmarkStart w:id="27" w:name="_Toc15377211"/>
      <w:r>
        <w:rPr>
          <w:rFonts w:hint="eastAsia" w:ascii="楷体_GB2312" w:hAnsi="楷体_GB2312" w:eastAsia="楷体_GB2312" w:cs="楷体_GB2312"/>
          <w:b/>
          <w:color w:val="000000"/>
          <w:sz w:val="32"/>
          <w:szCs w:val="32"/>
        </w:rPr>
        <w:t>（二）一般公共预算财政拨款支出决算结构情况</w:t>
      </w:r>
      <w:bookmarkEnd w:id="27"/>
    </w:p>
    <w:p>
      <w:pPr>
        <w:spacing w:line="560" w:lineRule="exact"/>
        <w:ind w:firstLine="560" w:firstLineChars="200"/>
        <w:rPr>
          <w:rFonts w:ascii="仿宋" w:hAnsi="仿宋" w:eastAsia="仿宋"/>
          <w:spacing w:val="-20"/>
          <w:sz w:val="32"/>
          <w:szCs w:val="32"/>
        </w:rPr>
      </w:pPr>
      <w:r>
        <w:rPr>
          <w:rFonts w:hint="eastAsia" w:ascii="仿宋" w:hAnsi="仿宋" w:eastAsia="仿宋"/>
          <w:spacing w:val="-20"/>
          <w:sz w:val="32"/>
          <w:szCs w:val="32"/>
        </w:rPr>
        <w:t>2020年一般公共预算财政拨款支出689.09万元，主要用于以下方面:一般公共服务（类）支出617.43万元，占89.60%；教育支出（类）0万元，占0%；科学技术（类）支出8.33万元，占1.21%；文化旅游体育与传媒（类）支出0万元，占0%；社会保障和就业（类）支出37.21万元，占5.40%；卫生健康支出11.19万元，占1.62%；住房保障支出14.93万元，占2.17%。</w:t>
      </w:r>
    </w:p>
    <w:p>
      <w:pPr>
        <w:spacing w:line="560" w:lineRule="exact"/>
        <w:ind w:firstLine="560" w:firstLineChars="200"/>
        <w:rPr>
          <w:rFonts w:ascii="仿宋" w:hAnsi="仿宋" w:eastAsia="仿宋"/>
          <w:spacing w:val="-20"/>
          <w:sz w:val="32"/>
          <w:szCs w:val="32"/>
        </w:rPr>
      </w:pPr>
    </w:p>
    <w:p>
      <w:pPr>
        <w:spacing w:line="560" w:lineRule="exact"/>
        <w:ind w:firstLine="560" w:firstLineChars="200"/>
        <w:rPr>
          <w:rFonts w:ascii="仿宋" w:hAnsi="仿宋" w:eastAsia="仿宋"/>
          <w:spacing w:val="-20"/>
          <w:sz w:val="32"/>
          <w:szCs w:val="32"/>
        </w:rPr>
      </w:pPr>
      <w:r>
        <w:rPr>
          <w:rFonts w:hint="eastAsia" w:ascii="仿宋" w:hAnsi="仿宋" w:eastAsia="仿宋"/>
          <w:spacing w:val="-20"/>
          <w:sz w:val="32"/>
          <w:szCs w:val="32"/>
        </w:rPr>
        <w:t>（图6：一般公共预算财政拨款支出决算结构）（饼状图）</w:t>
      </w:r>
    </w:p>
    <w:p>
      <w:pPr>
        <w:spacing w:line="560" w:lineRule="exact"/>
        <w:ind w:firstLine="640" w:firstLineChars="200"/>
        <w:rPr>
          <w:rFonts w:ascii="仿宋" w:hAnsi="仿宋" w:eastAsia="仿宋"/>
          <w:color w:val="000000"/>
          <w:sz w:val="32"/>
          <w:szCs w:val="32"/>
        </w:rPr>
      </w:pPr>
    </w:p>
    <w:p>
      <w:pPr>
        <w:ind w:firstLine="640" w:firstLineChars="200"/>
        <w:rPr>
          <w:rFonts w:ascii="仿宋" w:hAnsi="仿宋" w:eastAsia="仿宋"/>
          <w:color w:val="000000"/>
          <w:sz w:val="32"/>
          <w:szCs w:val="32"/>
        </w:rPr>
      </w:pPr>
      <w:r>
        <w:rPr>
          <w:rFonts w:ascii="仿宋" w:hAnsi="仿宋" w:eastAsia="仿宋"/>
          <w:color w:val="000000"/>
          <w:sz w:val="32"/>
          <w:szCs w:val="32"/>
        </w:rPr>
        <w:drawing>
          <wp:inline distT="0" distB="0" distL="0" distR="0">
            <wp:extent cx="4572000" cy="2743200"/>
            <wp:effectExtent l="19050" t="0" r="19050" b="0"/>
            <wp:docPr id="15"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560" w:lineRule="exact"/>
        <w:ind w:firstLine="640" w:firstLineChars="200"/>
        <w:rPr>
          <w:rFonts w:ascii="仿宋" w:hAnsi="仿宋" w:eastAsia="仿宋"/>
          <w:color w:val="000000"/>
          <w:sz w:val="32"/>
          <w:szCs w:val="32"/>
        </w:rPr>
      </w:pPr>
    </w:p>
    <w:p>
      <w:pPr>
        <w:spacing w:line="560" w:lineRule="exact"/>
        <w:ind w:firstLine="642" w:firstLineChars="200"/>
        <w:outlineLvl w:val="2"/>
        <w:rPr>
          <w:rFonts w:ascii="楷体_GB2312" w:hAnsi="楷体_GB2312" w:eastAsia="楷体_GB2312" w:cs="楷体_GB2312"/>
          <w:b/>
          <w:color w:val="000000"/>
          <w:sz w:val="32"/>
          <w:szCs w:val="32"/>
        </w:rPr>
      </w:pPr>
      <w:bookmarkStart w:id="28" w:name="_Toc15377212"/>
      <w:r>
        <w:rPr>
          <w:rFonts w:hint="eastAsia" w:ascii="楷体_GB2312" w:hAnsi="楷体_GB2312" w:eastAsia="楷体_GB2312" w:cs="楷体_GB2312"/>
          <w:b/>
          <w:color w:val="000000"/>
          <w:sz w:val="32"/>
          <w:szCs w:val="32"/>
        </w:rPr>
        <w:t>（三）一般公共预算财政拨款支出决算具体情况</w:t>
      </w:r>
      <w:bookmarkEnd w:id="28"/>
    </w:p>
    <w:p>
      <w:pPr>
        <w:spacing w:line="560" w:lineRule="exact"/>
        <w:ind w:firstLine="560" w:firstLineChars="200"/>
        <w:outlineLvl w:val="2"/>
        <w:rPr>
          <w:rFonts w:ascii="仿宋" w:hAnsi="仿宋" w:eastAsia="仿宋" w:cs="仿宋_GB2312"/>
          <w:color w:val="FF0000"/>
          <w:sz w:val="32"/>
          <w:szCs w:val="32"/>
        </w:rPr>
      </w:pPr>
      <w:bookmarkStart w:id="29" w:name="_Toc15378460"/>
      <w:bookmarkStart w:id="30" w:name="_Toc15377444"/>
      <w:bookmarkStart w:id="31" w:name="_Toc15377213"/>
      <w:r>
        <w:rPr>
          <w:rFonts w:hint="eastAsia" w:ascii="仿宋" w:hAnsi="仿宋" w:eastAsia="仿宋"/>
          <w:bCs/>
          <w:spacing w:val="-20"/>
          <w:sz w:val="32"/>
          <w:szCs w:val="32"/>
        </w:rPr>
        <w:t>2020</w:t>
      </w:r>
      <w:r>
        <w:rPr>
          <w:rFonts w:hint="eastAsia" w:ascii="仿宋" w:hAnsi="仿宋" w:eastAsia="仿宋" w:cs="仿宋_GB2312"/>
          <w:color w:val="000000" w:themeColor="text1"/>
          <w:sz w:val="32"/>
          <w:szCs w:val="32"/>
        </w:rPr>
        <w:t>年一般公共预算支出决算数为</w:t>
      </w:r>
      <w:r>
        <w:rPr>
          <w:rFonts w:hint="eastAsia" w:ascii="仿宋" w:hAnsi="仿宋" w:eastAsia="仿宋"/>
          <w:bCs/>
          <w:spacing w:val="-20"/>
          <w:sz w:val="32"/>
          <w:szCs w:val="32"/>
        </w:rPr>
        <w:t>689.09</w:t>
      </w:r>
      <w:r>
        <w:rPr>
          <w:rFonts w:hint="eastAsia" w:ascii="仿宋" w:hAnsi="仿宋" w:eastAsia="仿宋" w:cs="仿宋_GB2312"/>
          <w:color w:val="000000" w:themeColor="text1"/>
          <w:sz w:val="32"/>
          <w:szCs w:val="32"/>
        </w:rPr>
        <w:t>万元，</w:t>
      </w:r>
      <w:r>
        <w:rPr>
          <w:rStyle w:val="14"/>
          <w:rFonts w:hint="eastAsia" w:ascii="仿宋" w:hAnsi="仿宋" w:eastAsia="仿宋" w:cs="仿宋_GB2312"/>
          <w:bCs/>
          <w:color w:val="000000" w:themeColor="text1"/>
          <w:sz w:val="32"/>
          <w:szCs w:val="32"/>
        </w:rPr>
        <w:t>完成</w:t>
      </w:r>
      <w:r>
        <w:rPr>
          <w:rStyle w:val="14"/>
          <w:rFonts w:hint="eastAsia" w:ascii="仿宋" w:hAnsi="仿宋" w:eastAsia="仿宋" w:cs="仿宋_GB2312"/>
          <w:bCs/>
          <w:color w:val="000000"/>
          <w:sz w:val="32"/>
          <w:szCs w:val="32"/>
        </w:rPr>
        <w:t>预算</w:t>
      </w:r>
      <w:r>
        <w:rPr>
          <w:rFonts w:hint="eastAsia" w:ascii="仿宋" w:hAnsi="仿宋" w:eastAsia="仿宋"/>
          <w:bCs/>
          <w:spacing w:val="-20"/>
          <w:sz w:val="32"/>
          <w:szCs w:val="32"/>
        </w:rPr>
        <w:t>98.92%</w:t>
      </w:r>
      <w:r>
        <w:rPr>
          <w:rStyle w:val="14"/>
          <w:rFonts w:hint="eastAsia" w:ascii="仿宋" w:hAnsi="仿宋" w:eastAsia="仿宋" w:cs="仿宋_GB2312"/>
          <w:bCs/>
          <w:color w:val="000000"/>
          <w:sz w:val="32"/>
          <w:szCs w:val="32"/>
        </w:rPr>
        <w:t>。其中：</w:t>
      </w:r>
      <w:bookmarkEnd w:id="29"/>
      <w:bookmarkEnd w:id="30"/>
      <w:bookmarkEnd w:id="31"/>
    </w:p>
    <w:p>
      <w:pPr>
        <w:spacing w:line="560" w:lineRule="exact"/>
        <w:ind w:firstLine="642" w:firstLineChars="200"/>
        <w:rPr>
          <w:rStyle w:val="14"/>
          <w:rFonts w:ascii="仿宋" w:hAnsi="仿宋" w:eastAsia="仿宋" w:cs="仿宋_GB2312"/>
          <w:b w:val="0"/>
          <w:bCs/>
          <w:color w:val="000000"/>
          <w:sz w:val="32"/>
          <w:szCs w:val="32"/>
        </w:rPr>
      </w:pPr>
      <w:r>
        <w:rPr>
          <w:rStyle w:val="14"/>
          <w:rFonts w:hint="eastAsia" w:ascii="仿宋" w:hAnsi="仿宋" w:eastAsia="仿宋" w:cs="仿宋_GB2312"/>
          <w:bCs/>
          <w:color w:val="000000"/>
          <w:sz w:val="32"/>
          <w:szCs w:val="32"/>
        </w:rPr>
        <w:t>1.一般公共服务（类）政府办公厅（室）及机关机构事务（款）事业运行（项）:</w:t>
      </w:r>
      <w:r>
        <w:rPr>
          <w:rStyle w:val="14"/>
          <w:rFonts w:hint="eastAsia" w:ascii="仿宋" w:hAnsi="仿宋" w:eastAsia="仿宋" w:cs="仿宋_GB2312"/>
          <w:b w:val="0"/>
          <w:bCs/>
          <w:color w:val="000000"/>
          <w:sz w:val="32"/>
          <w:szCs w:val="32"/>
        </w:rPr>
        <w:t xml:space="preserve"> 支出决算为</w:t>
      </w:r>
      <w:r>
        <w:rPr>
          <w:rFonts w:hint="eastAsia" w:ascii="仿宋" w:hAnsi="仿宋" w:eastAsia="仿宋"/>
          <w:spacing w:val="-20"/>
          <w:sz w:val="32"/>
          <w:szCs w:val="32"/>
        </w:rPr>
        <w:t>153.95</w:t>
      </w:r>
      <w:r>
        <w:rPr>
          <w:rStyle w:val="14"/>
          <w:rFonts w:hint="eastAsia" w:ascii="仿宋" w:hAnsi="仿宋" w:eastAsia="仿宋" w:cs="仿宋_GB2312"/>
          <w:b w:val="0"/>
          <w:bCs/>
          <w:color w:val="000000"/>
          <w:sz w:val="32"/>
          <w:szCs w:val="32"/>
        </w:rPr>
        <w:t>万元，完成预算</w:t>
      </w:r>
      <w:r>
        <w:rPr>
          <w:rFonts w:hint="eastAsia" w:ascii="仿宋" w:hAnsi="仿宋" w:eastAsia="仿宋"/>
          <w:spacing w:val="-20"/>
          <w:sz w:val="32"/>
          <w:szCs w:val="32"/>
        </w:rPr>
        <w:t>100%</w:t>
      </w:r>
      <w:r>
        <w:rPr>
          <w:rStyle w:val="14"/>
          <w:rFonts w:hint="eastAsia" w:ascii="仿宋" w:hAnsi="仿宋" w:eastAsia="仿宋" w:cs="仿宋_GB2312"/>
          <w:b w:val="0"/>
          <w:bCs/>
          <w:color w:val="000000"/>
          <w:sz w:val="32"/>
          <w:szCs w:val="32"/>
        </w:rPr>
        <w:t>，决算数等于预算数；</w:t>
      </w:r>
    </w:p>
    <w:p>
      <w:pPr>
        <w:spacing w:line="560" w:lineRule="exact"/>
        <w:ind w:firstLine="642" w:firstLineChars="200"/>
        <w:rPr>
          <w:rFonts w:ascii="仿宋" w:hAnsi="仿宋" w:eastAsia="仿宋" w:cs="仿宋_GB2312"/>
          <w:b/>
          <w:color w:val="000000"/>
          <w:sz w:val="32"/>
          <w:szCs w:val="32"/>
        </w:rPr>
      </w:pPr>
      <w:r>
        <w:rPr>
          <w:rStyle w:val="14"/>
          <w:rFonts w:hint="eastAsia" w:ascii="仿宋" w:hAnsi="仿宋" w:eastAsia="仿宋" w:cs="仿宋_GB2312"/>
          <w:bCs/>
          <w:color w:val="000000"/>
          <w:sz w:val="32"/>
          <w:szCs w:val="32"/>
        </w:rPr>
        <w:t>一般公共服务（类）政府办公厅（室）及机关机构事务（款）其他政府办公厅（室）及相关机构事务支出（项）:</w:t>
      </w:r>
      <w:r>
        <w:rPr>
          <w:rStyle w:val="14"/>
          <w:rFonts w:hint="eastAsia" w:ascii="仿宋" w:hAnsi="仿宋" w:eastAsia="仿宋" w:cs="仿宋_GB2312"/>
          <w:b w:val="0"/>
          <w:bCs/>
          <w:color w:val="000000"/>
          <w:sz w:val="32"/>
          <w:szCs w:val="32"/>
        </w:rPr>
        <w:t xml:space="preserve"> 支出决算为</w:t>
      </w:r>
      <w:r>
        <w:rPr>
          <w:rFonts w:hint="eastAsia" w:ascii="仿宋" w:hAnsi="仿宋" w:eastAsia="仿宋"/>
          <w:spacing w:val="-20"/>
          <w:sz w:val="32"/>
          <w:szCs w:val="32"/>
        </w:rPr>
        <w:t>463.48</w:t>
      </w:r>
      <w:r>
        <w:rPr>
          <w:rStyle w:val="14"/>
          <w:rFonts w:hint="eastAsia" w:ascii="仿宋" w:hAnsi="仿宋" w:eastAsia="仿宋" w:cs="仿宋_GB2312"/>
          <w:b w:val="0"/>
          <w:bCs/>
          <w:color w:val="000000"/>
          <w:sz w:val="32"/>
          <w:szCs w:val="32"/>
        </w:rPr>
        <w:t>万元，完成预算</w:t>
      </w:r>
      <w:r>
        <w:rPr>
          <w:rFonts w:hint="eastAsia" w:ascii="仿宋" w:hAnsi="仿宋" w:eastAsia="仿宋"/>
          <w:spacing w:val="-20"/>
          <w:sz w:val="32"/>
          <w:szCs w:val="32"/>
        </w:rPr>
        <w:t>98.89%</w:t>
      </w:r>
      <w:r>
        <w:rPr>
          <w:rStyle w:val="14"/>
          <w:rFonts w:hint="eastAsia" w:ascii="仿宋" w:hAnsi="仿宋" w:eastAsia="仿宋" w:cs="仿宋_GB2312"/>
          <w:b w:val="0"/>
          <w:bCs/>
          <w:color w:val="000000"/>
          <w:sz w:val="32"/>
          <w:szCs w:val="32"/>
        </w:rPr>
        <w:t>，决算数小于预算数的主要原因是通过政府采购节约了预算资金。</w:t>
      </w:r>
    </w:p>
    <w:p>
      <w:pPr>
        <w:spacing w:line="560" w:lineRule="exact"/>
        <w:ind w:firstLine="642" w:firstLineChars="200"/>
        <w:rPr>
          <w:rFonts w:ascii="仿宋" w:hAnsi="仿宋" w:eastAsia="仿宋" w:cs="仿宋_GB2312"/>
          <w:b/>
          <w:color w:val="000000"/>
          <w:sz w:val="32"/>
          <w:szCs w:val="32"/>
        </w:rPr>
      </w:pPr>
      <w:r>
        <w:rPr>
          <w:rStyle w:val="14"/>
          <w:rFonts w:hint="eastAsia" w:ascii="仿宋" w:hAnsi="仿宋" w:eastAsia="仿宋" w:cs="仿宋_GB2312"/>
          <w:bCs/>
          <w:color w:val="000000"/>
          <w:sz w:val="32"/>
          <w:szCs w:val="32"/>
        </w:rPr>
        <w:t xml:space="preserve">2.科学技术（类）技术研究与开发（款）其他技术研究与开发支出（项）: </w:t>
      </w:r>
      <w:r>
        <w:rPr>
          <w:rStyle w:val="14"/>
          <w:rFonts w:hint="eastAsia" w:ascii="仿宋" w:hAnsi="仿宋" w:eastAsia="仿宋" w:cs="仿宋_GB2312"/>
          <w:b w:val="0"/>
          <w:bCs/>
          <w:color w:val="000000"/>
          <w:sz w:val="32"/>
          <w:szCs w:val="32"/>
        </w:rPr>
        <w:t>支出决算为</w:t>
      </w:r>
      <w:r>
        <w:rPr>
          <w:rFonts w:hint="eastAsia" w:ascii="仿宋" w:hAnsi="仿宋" w:eastAsia="仿宋"/>
          <w:spacing w:val="-20"/>
          <w:sz w:val="32"/>
          <w:szCs w:val="32"/>
        </w:rPr>
        <w:t>8.33</w:t>
      </w:r>
      <w:r>
        <w:rPr>
          <w:rStyle w:val="14"/>
          <w:rFonts w:hint="eastAsia" w:ascii="仿宋" w:hAnsi="仿宋" w:eastAsia="仿宋" w:cs="仿宋_GB2312"/>
          <w:b w:val="0"/>
          <w:bCs/>
          <w:color w:val="000000"/>
          <w:sz w:val="32"/>
          <w:szCs w:val="32"/>
        </w:rPr>
        <w:t>万元，完成预算</w:t>
      </w:r>
      <w:r>
        <w:rPr>
          <w:rFonts w:hint="eastAsia" w:ascii="仿宋" w:hAnsi="仿宋" w:eastAsia="仿宋"/>
          <w:spacing w:val="-20"/>
          <w:sz w:val="32"/>
          <w:szCs w:val="32"/>
        </w:rPr>
        <w:t>78.51%</w:t>
      </w:r>
      <w:r>
        <w:rPr>
          <w:rStyle w:val="14"/>
          <w:rFonts w:hint="eastAsia" w:ascii="仿宋" w:hAnsi="仿宋" w:eastAsia="仿宋" w:cs="仿宋_GB2312"/>
          <w:b w:val="0"/>
          <w:bCs/>
          <w:color w:val="000000"/>
          <w:sz w:val="32"/>
          <w:szCs w:val="32"/>
        </w:rPr>
        <w:t>，决算数小于预算数的主要原因是科技项目资金结余。</w:t>
      </w:r>
    </w:p>
    <w:p>
      <w:pPr>
        <w:spacing w:line="560" w:lineRule="exact"/>
        <w:ind w:firstLine="642" w:firstLineChars="200"/>
        <w:rPr>
          <w:rStyle w:val="14"/>
          <w:rFonts w:ascii="仿宋_GB2312" w:hAnsi="仿宋_GB2312" w:eastAsia="仿宋_GB2312" w:cs="仿宋_GB2312"/>
          <w:bCs/>
          <w:color w:val="000000"/>
          <w:sz w:val="32"/>
          <w:szCs w:val="32"/>
        </w:rPr>
      </w:pPr>
      <w:r>
        <w:rPr>
          <w:rStyle w:val="14"/>
          <w:rFonts w:hint="eastAsia" w:ascii="仿宋" w:hAnsi="仿宋" w:eastAsia="仿宋" w:cs="仿宋_GB2312"/>
          <w:bCs/>
          <w:color w:val="000000"/>
          <w:sz w:val="32"/>
          <w:szCs w:val="32"/>
        </w:rPr>
        <w:t xml:space="preserve">3.社会保障和就业（类）行政事业单位养老支出（款）机关事业单位养老保险缴费支出（项）: </w:t>
      </w:r>
      <w:r>
        <w:rPr>
          <w:rStyle w:val="14"/>
          <w:rFonts w:hint="eastAsia" w:ascii="仿宋" w:hAnsi="仿宋" w:eastAsia="仿宋" w:cs="仿宋_GB2312"/>
          <w:b w:val="0"/>
          <w:bCs/>
          <w:color w:val="000000"/>
          <w:sz w:val="32"/>
          <w:szCs w:val="32"/>
        </w:rPr>
        <w:t>支出决算为</w:t>
      </w:r>
      <w:r>
        <w:rPr>
          <w:rFonts w:hint="eastAsia" w:ascii="仿宋" w:hAnsi="仿宋" w:eastAsia="仿宋"/>
          <w:spacing w:val="-20"/>
          <w:sz w:val="32"/>
          <w:szCs w:val="32"/>
        </w:rPr>
        <w:t>24.97</w:t>
      </w:r>
      <w:r>
        <w:rPr>
          <w:rStyle w:val="14"/>
          <w:rFonts w:hint="eastAsia" w:ascii="仿宋" w:hAnsi="仿宋" w:eastAsia="仿宋" w:cs="仿宋_GB2312"/>
          <w:b w:val="0"/>
          <w:bCs/>
          <w:color w:val="000000"/>
          <w:sz w:val="32"/>
          <w:szCs w:val="32"/>
        </w:rPr>
        <w:t>万元，完成预算</w:t>
      </w:r>
      <w:r>
        <w:rPr>
          <w:rFonts w:hint="eastAsia" w:ascii="仿宋" w:hAnsi="仿宋" w:eastAsia="仿宋"/>
          <w:spacing w:val="-20"/>
          <w:sz w:val="32"/>
          <w:szCs w:val="32"/>
        </w:rPr>
        <w:t>100%</w:t>
      </w:r>
      <w:r>
        <w:rPr>
          <w:rStyle w:val="14"/>
          <w:rFonts w:hint="eastAsia" w:ascii="仿宋" w:hAnsi="仿宋" w:eastAsia="仿宋" w:cs="仿宋_GB2312"/>
          <w:b w:val="0"/>
          <w:bCs/>
          <w:color w:val="000000"/>
          <w:sz w:val="32"/>
          <w:szCs w:val="32"/>
        </w:rPr>
        <w:t>，决算数等于预算数；</w:t>
      </w:r>
    </w:p>
    <w:p>
      <w:pPr>
        <w:spacing w:line="560" w:lineRule="exact"/>
        <w:ind w:firstLine="642" w:firstLineChars="200"/>
        <w:rPr>
          <w:rFonts w:ascii="仿宋_GB2312" w:hAnsi="仿宋_GB2312" w:eastAsia="仿宋_GB2312" w:cs="仿宋_GB2312"/>
          <w:b/>
          <w:color w:val="000000"/>
          <w:sz w:val="32"/>
          <w:szCs w:val="32"/>
        </w:rPr>
      </w:pPr>
      <w:r>
        <w:rPr>
          <w:rStyle w:val="14"/>
          <w:rFonts w:hint="eastAsia" w:ascii="仿宋" w:hAnsi="仿宋" w:eastAsia="仿宋" w:cs="仿宋_GB2312"/>
          <w:bCs/>
          <w:color w:val="000000"/>
          <w:sz w:val="32"/>
          <w:szCs w:val="32"/>
        </w:rPr>
        <w:t xml:space="preserve">社会保障和就业（类）行政事业单位养老支出（款）机关事业单位职业年金缴费支出（项）: </w:t>
      </w:r>
      <w:r>
        <w:rPr>
          <w:rStyle w:val="14"/>
          <w:rFonts w:hint="eastAsia" w:ascii="仿宋_GB2312" w:hAnsi="仿宋_GB2312" w:eastAsia="仿宋_GB2312" w:cs="仿宋_GB2312"/>
          <w:b w:val="0"/>
          <w:bCs/>
          <w:color w:val="000000"/>
          <w:sz w:val="32"/>
          <w:szCs w:val="32"/>
        </w:rPr>
        <w:t>支出决算为</w:t>
      </w:r>
      <w:r>
        <w:rPr>
          <w:rFonts w:hint="eastAsia" w:eastAsia="仿宋_GB2312"/>
          <w:spacing w:val="-20"/>
          <w:sz w:val="32"/>
          <w:szCs w:val="32"/>
        </w:rPr>
        <w:t>12.24</w:t>
      </w:r>
      <w:r>
        <w:rPr>
          <w:rStyle w:val="14"/>
          <w:rFonts w:hint="eastAsia" w:ascii="仿宋_GB2312" w:hAnsi="仿宋_GB2312" w:eastAsia="仿宋_GB2312" w:cs="仿宋_GB2312"/>
          <w:b w:val="0"/>
          <w:bCs/>
          <w:color w:val="000000"/>
          <w:sz w:val="32"/>
          <w:szCs w:val="32"/>
        </w:rPr>
        <w:t>万元，完成预算</w:t>
      </w:r>
      <w:r>
        <w:rPr>
          <w:rFonts w:hint="eastAsia" w:eastAsia="仿宋_GB2312"/>
          <w:spacing w:val="-20"/>
          <w:sz w:val="32"/>
          <w:szCs w:val="32"/>
        </w:rPr>
        <w:t>100%</w:t>
      </w:r>
      <w:r>
        <w:rPr>
          <w:rStyle w:val="14"/>
          <w:rFonts w:hint="eastAsia" w:ascii="仿宋_GB2312" w:hAnsi="仿宋_GB2312" w:eastAsia="仿宋_GB2312" w:cs="仿宋_GB2312"/>
          <w:b w:val="0"/>
          <w:bCs/>
          <w:color w:val="000000"/>
          <w:sz w:val="32"/>
          <w:szCs w:val="32"/>
        </w:rPr>
        <w:t>，决算数等于预算数；</w:t>
      </w:r>
    </w:p>
    <w:p>
      <w:pPr>
        <w:spacing w:line="560" w:lineRule="exact"/>
        <w:ind w:firstLine="642" w:firstLineChars="200"/>
        <w:rPr>
          <w:rFonts w:ascii="仿宋" w:hAnsi="仿宋" w:eastAsia="仿宋" w:cs="仿宋_GB2312"/>
          <w:b/>
          <w:color w:val="000000"/>
          <w:sz w:val="32"/>
          <w:szCs w:val="32"/>
        </w:rPr>
      </w:pPr>
      <w:r>
        <w:rPr>
          <w:rStyle w:val="14"/>
          <w:rFonts w:hint="eastAsia" w:ascii="仿宋" w:hAnsi="仿宋" w:eastAsia="仿宋" w:cs="仿宋_GB2312"/>
          <w:bCs/>
          <w:color w:val="000000"/>
          <w:sz w:val="32"/>
          <w:szCs w:val="32"/>
        </w:rPr>
        <w:t>4.</w:t>
      </w:r>
      <w:r>
        <w:rPr>
          <w:rFonts w:hint="eastAsia" w:ascii="仿宋" w:hAnsi="仿宋" w:eastAsia="仿宋" w:cs="仿宋_GB2312"/>
          <w:b/>
          <w:bCs/>
          <w:color w:val="000000" w:themeColor="text1"/>
          <w:sz w:val="32"/>
          <w:szCs w:val="32"/>
        </w:rPr>
        <w:t>卫生健康</w:t>
      </w:r>
      <w:r>
        <w:rPr>
          <w:rStyle w:val="14"/>
          <w:rFonts w:hint="eastAsia" w:ascii="仿宋" w:hAnsi="仿宋" w:eastAsia="仿宋" w:cs="仿宋_GB2312"/>
          <w:bCs/>
          <w:color w:val="000000"/>
          <w:sz w:val="32"/>
          <w:szCs w:val="32"/>
        </w:rPr>
        <w:t>（类）行政事业单位医疗（款）事业单位医疗（项）:</w:t>
      </w:r>
      <w:r>
        <w:rPr>
          <w:rStyle w:val="14"/>
          <w:rFonts w:hint="eastAsia" w:ascii="仿宋" w:hAnsi="仿宋" w:eastAsia="仿宋" w:cs="仿宋_GB2312"/>
          <w:b w:val="0"/>
          <w:bCs/>
          <w:color w:val="000000"/>
          <w:sz w:val="32"/>
          <w:szCs w:val="32"/>
        </w:rPr>
        <w:t>支出决算为</w:t>
      </w:r>
      <w:r>
        <w:rPr>
          <w:rFonts w:hint="eastAsia" w:ascii="仿宋" w:hAnsi="仿宋" w:eastAsia="仿宋"/>
          <w:spacing w:val="-20"/>
          <w:sz w:val="32"/>
          <w:szCs w:val="32"/>
        </w:rPr>
        <w:t>11.19</w:t>
      </w:r>
      <w:r>
        <w:rPr>
          <w:rStyle w:val="14"/>
          <w:rFonts w:hint="eastAsia" w:ascii="仿宋" w:hAnsi="仿宋" w:eastAsia="仿宋" w:cs="仿宋_GB2312"/>
          <w:b w:val="0"/>
          <w:bCs/>
          <w:color w:val="000000"/>
          <w:sz w:val="32"/>
          <w:szCs w:val="32"/>
        </w:rPr>
        <w:t>万元，完成预算</w:t>
      </w:r>
      <w:r>
        <w:rPr>
          <w:rFonts w:hint="eastAsia" w:ascii="仿宋" w:hAnsi="仿宋" w:eastAsia="仿宋"/>
          <w:spacing w:val="-20"/>
          <w:sz w:val="32"/>
          <w:szCs w:val="32"/>
        </w:rPr>
        <w:t>100%</w:t>
      </w:r>
      <w:r>
        <w:rPr>
          <w:rStyle w:val="14"/>
          <w:rFonts w:hint="eastAsia" w:ascii="仿宋" w:hAnsi="仿宋" w:eastAsia="仿宋" w:cs="仿宋_GB2312"/>
          <w:b w:val="0"/>
          <w:bCs/>
          <w:color w:val="000000"/>
          <w:sz w:val="32"/>
          <w:szCs w:val="32"/>
        </w:rPr>
        <w:t>，决算数等于预算数。</w:t>
      </w:r>
    </w:p>
    <w:p>
      <w:pPr>
        <w:spacing w:line="560" w:lineRule="exact"/>
        <w:ind w:firstLine="640" w:firstLineChars="200"/>
        <w:rPr>
          <w:rFonts w:ascii="仿宋" w:hAnsi="仿宋" w:eastAsia="仿宋" w:cs="仿宋_GB2312"/>
          <w:b/>
          <w:color w:val="000000"/>
          <w:sz w:val="32"/>
          <w:szCs w:val="32"/>
        </w:rPr>
      </w:pPr>
      <w:r>
        <w:rPr>
          <w:rFonts w:hint="eastAsia" w:ascii="仿宋" w:hAnsi="仿宋" w:eastAsia="仿宋" w:cs="仿宋_GB2312"/>
          <w:color w:val="000000"/>
          <w:sz w:val="32"/>
          <w:szCs w:val="32"/>
        </w:rPr>
        <w:t>5.</w:t>
      </w:r>
      <w:r>
        <w:rPr>
          <w:rFonts w:hint="eastAsia" w:ascii="仿宋" w:hAnsi="仿宋" w:eastAsia="仿宋" w:cs="仿宋_GB2312"/>
          <w:b/>
          <w:bCs/>
          <w:color w:val="000000" w:themeColor="text1"/>
          <w:sz w:val="32"/>
          <w:szCs w:val="32"/>
        </w:rPr>
        <w:t>住房保障</w:t>
      </w:r>
      <w:r>
        <w:rPr>
          <w:rStyle w:val="14"/>
          <w:rFonts w:hint="eastAsia" w:ascii="仿宋" w:hAnsi="仿宋" w:eastAsia="仿宋" w:cs="仿宋_GB2312"/>
          <w:bCs/>
          <w:color w:val="000000"/>
          <w:sz w:val="32"/>
          <w:szCs w:val="32"/>
        </w:rPr>
        <w:t>（类）住房改革支出（款）住房公积金（项）:</w:t>
      </w:r>
      <w:r>
        <w:rPr>
          <w:rStyle w:val="14"/>
          <w:rFonts w:hint="eastAsia" w:ascii="仿宋" w:hAnsi="仿宋" w:eastAsia="仿宋" w:cs="仿宋_GB2312"/>
          <w:b w:val="0"/>
          <w:bCs/>
          <w:color w:val="000000"/>
          <w:sz w:val="32"/>
          <w:szCs w:val="32"/>
        </w:rPr>
        <w:t>支出决算为</w:t>
      </w:r>
      <w:r>
        <w:rPr>
          <w:rFonts w:hint="eastAsia" w:ascii="仿宋" w:hAnsi="仿宋" w:eastAsia="仿宋"/>
          <w:spacing w:val="-20"/>
          <w:sz w:val="32"/>
          <w:szCs w:val="32"/>
        </w:rPr>
        <w:t>14.93</w:t>
      </w:r>
      <w:r>
        <w:rPr>
          <w:rStyle w:val="14"/>
          <w:rFonts w:hint="eastAsia" w:ascii="仿宋" w:hAnsi="仿宋" w:eastAsia="仿宋" w:cs="仿宋_GB2312"/>
          <w:b w:val="0"/>
          <w:bCs/>
          <w:color w:val="000000"/>
          <w:sz w:val="32"/>
          <w:szCs w:val="32"/>
        </w:rPr>
        <w:t>万元，完成预算</w:t>
      </w:r>
      <w:r>
        <w:rPr>
          <w:rFonts w:hint="eastAsia" w:ascii="仿宋" w:hAnsi="仿宋" w:eastAsia="仿宋"/>
          <w:spacing w:val="-20"/>
          <w:sz w:val="32"/>
          <w:szCs w:val="32"/>
        </w:rPr>
        <w:t>100%</w:t>
      </w:r>
      <w:r>
        <w:rPr>
          <w:rStyle w:val="14"/>
          <w:rFonts w:hint="eastAsia" w:ascii="仿宋" w:hAnsi="仿宋" w:eastAsia="仿宋" w:cs="仿宋_GB2312"/>
          <w:b w:val="0"/>
          <w:bCs/>
          <w:color w:val="000000"/>
          <w:sz w:val="32"/>
          <w:szCs w:val="32"/>
        </w:rPr>
        <w:t>，决算数等于预算数。</w:t>
      </w:r>
    </w:p>
    <w:p>
      <w:pPr>
        <w:tabs>
          <w:tab w:val="right" w:pos="8306"/>
        </w:tabs>
        <w:spacing w:line="560" w:lineRule="exact"/>
        <w:ind w:firstLine="640"/>
        <w:outlineLvl w:val="1"/>
        <w:rPr>
          <w:rStyle w:val="25"/>
        </w:rPr>
      </w:pPr>
      <w:bookmarkStart w:id="32" w:name="_Toc15377214"/>
      <w:bookmarkStart w:id="33" w:name="_Toc15396608"/>
      <w:r>
        <w:rPr>
          <w:rFonts w:hint="eastAsia" w:ascii="黑体" w:eastAsia="黑体"/>
          <w:color w:val="000000"/>
          <w:sz w:val="32"/>
          <w:szCs w:val="32"/>
        </w:rPr>
        <w:t>六、</w:t>
      </w:r>
      <w:r>
        <w:rPr>
          <w:rFonts w:hint="eastAsia" w:ascii="黑体" w:hAnsi="黑体" w:eastAsia="黑体"/>
          <w:color w:val="000000"/>
          <w:sz w:val="32"/>
          <w:szCs w:val="32"/>
        </w:rPr>
        <w:t>一</w:t>
      </w:r>
      <w:r>
        <w:rPr>
          <w:rStyle w:val="25"/>
          <w:rFonts w:hint="eastAsia" w:ascii="黑体" w:hAnsi="黑体" w:eastAsia="黑体"/>
          <w:b w:val="0"/>
          <w:bCs w:val="0"/>
        </w:rPr>
        <w:t>般公共预算财政拨款基本支出决算情况说明</w:t>
      </w:r>
      <w:bookmarkEnd w:id="32"/>
      <w:bookmarkEnd w:id="33"/>
      <w:r>
        <w:rPr>
          <w:rStyle w:val="25"/>
          <w:rFonts w:ascii="黑体" w:hAnsi="黑体" w:eastAsia="黑体"/>
          <w:b w:val="0"/>
        </w:rPr>
        <w:tab/>
      </w:r>
    </w:p>
    <w:p>
      <w:pPr>
        <w:spacing w:line="560" w:lineRule="exact"/>
        <w:ind w:firstLine="645"/>
        <w:rPr>
          <w:rFonts w:ascii="仿宋" w:hAnsi="仿宋" w:eastAsia="仿宋" w:cs="仿宋_GB2312"/>
          <w:color w:val="000000"/>
          <w:sz w:val="32"/>
          <w:szCs w:val="32"/>
        </w:rPr>
      </w:pPr>
      <w:r>
        <w:rPr>
          <w:rFonts w:hint="eastAsia" w:ascii="仿宋" w:hAnsi="仿宋" w:eastAsia="仿宋"/>
          <w:spacing w:val="-20"/>
          <w:sz w:val="32"/>
          <w:szCs w:val="32"/>
        </w:rPr>
        <w:t>2020</w:t>
      </w:r>
      <w:r>
        <w:rPr>
          <w:rFonts w:hint="eastAsia" w:ascii="仿宋" w:hAnsi="仿宋" w:eastAsia="仿宋" w:cs="仿宋_GB2312"/>
          <w:color w:val="000000"/>
          <w:sz w:val="32"/>
          <w:szCs w:val="32"/>
        </w:rPr>
        <w:t>年一般公共预算财政拨款基本支出</w:t>
      </w:r>
      <w:r>
        <w:rPr>
          <w:rFonts w:hint="eastAsia" w:ascii="仿宋" w:hAnsi="仿宋" w:eastAsia="仿宋"/>
          <w:spacing w:val="-20"/>
          <w:sz w:val="32"/>
          <w:szCs w:val="32"/>
        </w:rPr>
        <w:t>238.16</w:t>
      </w:r>
      <w:r>
        <w:rPr>
          <w:rFonts w:hint="eastAsia" w:ascii="仿宋" w:hAnsi="仿宋" w:eastAsia="仿宋" w:cs="仿宋_GB2312"/>
          <w:color w:val="000000"/>
          <w:sz w:val="32"/>
          <w:szCs w:val="32"/>
        </w:rPr>
        <w:t>万元，其中：</w:t>
      </w:r>
    </w:p>
    <w:p>
      <w:pPr>
        <w:spacing w:line="560" w:lineRule="exact"/>
        <w:ind w:firstLine="645"/>
        <w:rPr>
          <w:rFonts w:ascii="仿宋" w:hAnsi="仿宋" w:eastAsia="仿宋" w:cs="仿宋_GB2312"/>
          <w:color w:val="000000"/>
          <w:sz w:val="32"/>
          <w:szCs w:val="32"/>
        </w:rPr>
      </w:pPr>
      <w:r>
        <w:rPr>
          <w:rFonts w:hint="eastAsia" w:ascii="仿宋" w:hAnsi="仿宋" w:eastAsia="仿宋" w:cs="仿宋_GB2312"/>
          <w:color w:val="000000"/>
          <w:sz w:val="32"/>
          <w:szCs w:val="32"/>
        </w:rPr>
        <w:t>人员经费</w:t>
      </w:r>
      <w:r>
        <w:rPr>
          <w:rFonts w:hint="eastAsia" w:ascii="仿宋" w:hAnsi="仿宋" w:eastAsia="仿宋"/>
          <w:spacing w:val="-20"/>
          <w:sz w:val="32"/>
          <w:szCs w:val="32"/>
        </w:rPr>
        <w:t>183.65</w:t>
      </w:r>
      <w:r>
        <w:rPr>
          <w:rFonts w:hint="eastAsia" w:ascii="仿宋" w:hAnsi="仿宋" w:eastAsia="仿宋" w:cs="仿宋_GB2312"/>
          <w:color w:val="000000"/>
          <w:sz w:val="32"/>
          <w:szCs w:val="32"/>
        </w:rPr>
        <w:t>万元，主要包括：基本工资</w:t>
      </w:r>
      <w:r>
        <w:rPr>
          <w:rFonts w:hint="eastAsia" w:ascii="仿宋" w:hAnsi="仿宋" w:eastAsia="仿宋"/>
          <w:spacing w:val="-20"/>
          <w:sz w:val="32"/>
          <w:szCs w:val="32"/>
        </w:rPr>
        <w:t>72.43</w:t>
      </w:r>
      <w:r>
        <w:rPr>
          <w:rFonts w:hint="eastAsia" w:ascii="仿宋" w:hAnsi="仿宋" w:eastAsia="仿宋" w:cs="仿宋_GB2312"/>
          <w:color w:val="000000"/>
          <w:sz w:val="32"/>
          <w:szCs w:val="32"/>
        </w:rPr>
        <w:t>万元、津贴补贴</w:t>
      </w:r>
      <w:r>
        <w:rPr>
          <w:rFonts w:hint="eastAsia" w:ascii="仿宋" w:hAnsi="仿宋" w:eastAsia="仿宋"/>
          <w:spacing w:val="-20"/>
          <w:sz w:val="32"/>
          <w:szCs w:val="32"/>
        </w:rPr>
        <w:t>1.58</w:t>
      </w:r>
      <w:r>
        <w:rPr>
          <w:rFonts w:hint="eastAsia" w:ascii="仿宋" w:hAnsi="仿宋" w:eastAsia="仿宋" w:cs="仿宋_GB2312"/>
          <w:color w:val="000000"/>
          <w:sz w:val="32"/>
          <w:szCs w:val="32"/>
        </w:rPr>
        <w:t>万元、绩效工资</w:t>
      </w:r>
      <w:r>
        <w:rPr>
          <w:rFonts w:hint="eastAsia" w:ascii="仿宋" w:hAnsi="仿宋" w:eastAsia="仿宋"/>
          <w:spacing w:val="-20"/>
          <w:sz w:val="32"/>
          <w:szCs w:val="32"/>
        </w:rPr>
        <w:t>45.27</w:t>
      </w:r>
      <w:r>
        <w:rPr>
          <w:rFonts w:hint="eastAsia" w:ascii="仿宋" w:hAnsi="仿宋" w:eastAsia="仿宋" w:cs="仿宋_GB2312"/>
          <w:color w:val="000000"/>
          <w:sz w:val="32"/>
          <w:szCs w:val="32"/>
        </w:rPr>
        <w:t>万元、机关事业单位基本养老保险缴费</w:t>
      </w:r>
      <w:r>
        <w:rPr>
          <w:rFonts w:hint="eastAsia" w:ascii="仿宋" w:hAnsi="仿宋" w:eastAsia="仿宋"/>
          <w:spacing w:val="-20"/>
          <w:sz w:val="32"/>
          <w:szCs w:val="32"/>
        </w:rPr>
        <w:t>24.97</w:t>
      </w:r>
      <w:r>
        <w:rPr>
          <w:rFonts w:hint="eastAsia" w:ascii="仿宋" w:hAnsi="仿宋" w:eastAsia="仿宋" w:cs="仿宋_GB2312"/>
          <w:color w:val="000000"/>
          <w:sz w:val="32"/>
          <w:szCs w:val="32"/>
        </w:rPr>
        <w:t>万元、职业年金缴费</w:t>
      </w:r>
      <w:r>
        <w:rPr>
          <w:rFonts w:hint="eastAsia" w:ascii="仿宋" w:hAnsi="仿宋" w:eastAsia="仿宋"/>
          <w:spacing w:val="-20"/>
          <w:sz w:val="32"/>
          <w:szCs w:val="32"/>
        </w:rPr>
        <w:t>12.24</w:t>
      </w:r>
      <w:r>
        <w:rPr>
          <w:rFonts w:hint="eastAsia" w:ascii="仿宋" w:hAnsi="仿宋" w:eastAsia="仿宋" w:cs="仿宋_GB2312"/>
          <w:color w:val="000000"/>
          <w:sz w:val="32"/>
          <w:szCs w:val="32"/>
        </w:rPr>
        <w:t>万元、其他社会保障缴费</w:t>
      </w:r>
      <w:r>
        <w:rPr>
          <w:rFonts w:hint="eastAsia" w:ascii="仿宋" w:hAnsi="仿宋" w:eastAsia="仿宋"/>
          <w:spacing w:val="-20"/>
          <w:sz w:val="32"/>
          <w:szCs w:val="32"/>
        </w:rPr>
        <w:t>1</w:t>
      </w:r>
      <w:r>
        <w:rPr>
          <w:rFonts w:hint="eastAsia" w:ascii="仿宋" w:hAnsi="仿宋" w:eastAsia="仿宋" w:cs="仿宋_GB2312"/>
          <w:color w:val="000000"/>
          <w:sz w:val="32"/>
          <w:szCs w:val="32"/>
        </w:rPr>
        <w:t>万元、医疗费补助</w:t>
      </w:r>
      <w:r>
        <w:rPr>
          <w:rFonts w:hint="eastAsia" w:ascii="仿宋" w:hAnsi="仿宋" w:eastAsia="仿宋"/>
          <w:spacing w:val="-20"/>
          <w:sz w:val="32"/>
          <w:szCs w:val="32"/>
        </w:rPr>
        <w:t>11.19</w:t>
      </w:r>
      <w:r>
        <w:rPr>
          <w:rFonts w:hint="eastAsia" w:ascii="仿宋" w:hAnsi="仿宋" w:eastAsia="仿宋" w:cs="仿宋_GB2312"/>
          <w:color w:val="000000"/>
          <w:sz w:val="32"/>
          <w:szCs w:val="32"/>
        </w:rPr>
        <w:t>万元、住房公积金</w:t>
      </w:r>
      <w:r>
        <w:rPr>
          <w:rFonts w:hint="eastAsia" w:ascii="仿宋" w:hAnsi="仿宋" w:eastAsia="仿宋"/>
          <w:spacing w:val="-20"/>
          <w:sz w:val="32"/>
          <w:szCs w:val="32"/>
        </w:rPr>
        <w:t>14.93</w:t>
      </w:r>
      <w:r>
        <w:rPr>
          <w:rFonts w:hint="eastAsia" w:ascii="仿宋" w:hAnsi="仿宋" w:eastAsia="仿宋" w:cs="仿宋_GB2312"/>
          <w:color w:val="000000"/>
          <w:sz w:val="32"/>
          <w:szCs w:val="32"/>
        </w:rPr>
        <w:t>万元、其他对个人和家庭的补助支出</w:t>
      </w:r>
      <w:r>
        <w:rPr>
          <w:rFonts w:hint="eastAsia" w:ascii="仿宋" w:hAnsi="仿宋" w:eastAsia="仿宋"/>
          <w:spacing w:val="-20"/>
          <w:sz w:val="32"/>
          <w:szCs w:val="32"/>
        </w:rPr>
        <w:t>0.04</w:t>
      </w:r>
      <w:r>
        <w:rPr>
          <w:rFonts w:hint="eastAsia" w:ascii="仿宋" w:hAnsi="仿宋" w:eastAsia="仿宋" w:cs="仿宋_GB2312"/>
          <w:color w:val="000000"/>
          <w:sz w:val="32"/>
          <w:szCs w:val="32"/>
        </w:rPr>
        <w:t>万元等。</w:t>
      </w:r>
      <w:r>
        <w:rPr>
          <w:rFonts w:hint="eastAsia" w:ascii="仿宋" w:hAnsi="仿宋" w:eastAsia="仿宋" w:cs="仿宋_GB2312"/>
          <w:color w:val="000000"/>
          <w:sz w:val="32"/>
          <w:szCs w:val="32"/>
        </w:rPr>
        <w:br w:type="textWrapping"/>
      </w:r>
      <w:r>
        <w:rPr>
          <w:rFonts w:hint="eastAsia" w:ascii="仿宋" w:hAnsi="仿宋" w:eastAsia="仿宋" w:cs="仿宋_GB2312"/>
          <w:color w:val="000000"/>
          <w:sz w:val="32"/>
          <w:szCs w:val="32"/>
        </w:rPr>
        <w:t>　　日常公用经费</w:t>
      </w:r>
      <w:r>
        <w:rPr>
          <w:rFonts w:hint="eastAsia" w:ascii="仿宋" w:hAnsi="仿宋" w:eastAsia="仿宋"/>
          <w:spacing w:val="-20"/>
          <w:sz w:val="32"/>
          <w:szCs w:val="32"/>
        </w:rPr>
        <w:t>54.51</w:t>
      </w:r>
      <w:r>
        <w:rPr>
          <w:rFonts w:hint="eastAsia" w:ascii="仿宋" w:hAnsi="仿宋" w:eastAsia="仿宋" w:cs="仿宋_GB2312"/>
          <w:color w:val="000000"/>
          <w:sz w:val="32"/>
          <w:szCs w:val="32"/>
        </w:rPr>
        <w:t>万元，主要包括：办公费</w:t>
      </w:r>
      <w:r>
        <w:rPr>
          <w:rFonts w:hint="eastAsia" w:ascii="仿宋" w:hAnsi="仿宋" w:eastAsia="仿宋"/>
          <w:spacing w:val="-20"/>
          <w:sz w:val="32"/>
          <w:szCs w:val="32"/>
        </w:rPr>
        <w:t>8.47</w:t>
      </w:r>
      <w:r>
        <w:rPr>
          <w:rFonts w:hint="eastAsia" w:ascii="仿宋" w:hAnsi="仿宋" w:eastAsia="仿宋" w:cs="仿宋_GB2312"/>
          <w:color w:val="000000"/>
          <w:sz w:val="32"/>
          <w:szCs w:val="32"/>
        </w:rPr>
        <w:t>万元、水费</w:t>
      </w:r>
      <w:r>
        <w:rPr>
          <w:rFonts w:hint="eastAsia" w:ascii="仿宋" w:hAnsi="仿宋" w:eastAsia="仿宋"/>
          <w:spacing w:val="-20"/>
          <w:sz w:val="32"/>
          <w:szCs w:val="32"/>
        </w:rPr>
        <w:t>0.2</w:t>
      </w:r>
      <w:r>
        <w:rPr>
          <w:rFonts w:hint="eastAsia" w:ascii="仿宋" w:hAnsi="仿宋" w:eastAsia="仿宋" w:cs="仿宋_GB2312"/>
          <w:color w:val="000000"/>
          <w:sz w:val="32"/>
          <w:szCs w:val="32"/>
        </w:rPr>
        <w:t>万元、电费</w:t>
      </w:r>
      <w:r>
        <w:rPr>
          <w:rFonts w:hint="eastAsia" w:ascii="仿宋" w:hAnsi="仿宋" w:eastAsia="仿宋"/>
          <w:spacing w:val="-20"/>
          <w:sz w:val="32"/>
          <w:szCs w:val="32"/>
        </w:rPr>
        <w:t>2.51</w:t>
      </w:r>
      <w:r>
        <w:rPr>
          <w:rFonts w:hint="eastAsia" w:ascii="仿宋" w:hAnsi="仿宋" w:eastAsia="仿宋" w:cs="仿宋_GB2312"/>
          <w:color w:val="000000"/>
          <w:sz w:val="32"/>
          <w:szCs w:val="32"/>
        </w:rPr>
        <w:t>万元、邮电费</w:t>
      </w:r>
      <w:r>
        <w:rPr>
          <w:rFonts w:hint="eastAsia" w:ascii="仿宋" w:hAnsi="仿宋" w:eastAsia="仿宋"/>
          <w:spacing w:val="-20"/>
          <w:sz w:val="32"/>
          <w:szCs w:val="32"/>
        </w:rPr>
        <w:t>4.87</w:t>
      </w:r>
      <w:r>
        <w:rPr>
          <w:rFonts w:hint="eastAsia" w:ascii="仿宋" w:hAnsi="仿宋" w:eastAsia="仿宋" w:cs="仿宋_GB2312"/>
          <w:color w:val="000000"/>
          <w:sz w:val="32"/>
          <w:szCs w:val="32"/>
        </w:rPr>
        <w:t>万元、物业管理费</w:t>
      </w:r>
      <w:r>
        <w:rPr>
          <w:rFonts w:hint="eastAsia" w:ascii="仿宋" w:hAnsi="仿宋" w:eastAsia="仿宋"/>
          <w:spacing w:val="-20"/>
          <w:sz w:val="32"/>
          <w:szCs w:val="32"/>
        </w:rPr>
        <w:t>25</w:t>
      </w:r>
      <w:r>
        <w:rPr>
          <w:rFonts w:hint="eastAsia" w:ascii="仿宋" w:hAnsi="仿宋" w:eastAsia="仿宋" w:cs="仿宋_GB2312"/>
          <w:color w:val="000000"/>
          <w:sz w:val="32"/>
          <w:szCs w:val="32"/>
        </w:rPr>
        <w:t>万元、差旅费</w:t>
      </w:r>
      <w:r>
        <w:rPr>
          <w:rFonts w:hint="eastAsia" w:ascii="仿宋" w:hAnsi="仿宋" w:eastAsia="仿宋"/>
          <w:spacing w:val="-20"/>
          <w:sz w:val="32"/>
          <w:szCs w:val="32"/>
        </w:rPr>
        <w:t>1.3</w:t>
      </w:r>
      <w:r>
        <w:rPr>
          <w:rFonts w:hint="eastAsia" w:ascii="仿宋" w:hAnsi="仿宋" w:eastAsia="仿宋" w:cs="仿宋_GB2312"/>
          <w:color w:val="000000"/>
          <w:sz w:val="32"/>
          <w:szCs w:val="32"/>
        </w:rPr>
        <w:t>万元、培训费</w:t>
      </w:r>
      <w:r>
        <w:rPr>
          <w:rFonts w:hint="eastAsia" w:ascii="仿宋" w:hAnsi="仿宋" w:eastAsia="仿宋"/>
          <w:spacing w:val="-20"/>
          <w:sz w:val="32"/>
          <w:szCs w:val="32"/>
        </w:rPr>
        <w:t>1</w:t>
      </w:r>
      <w:r>
        <w:rPr>
          <w:rFonts w:hint="eastAsia" w:ascii="仿宋" w:hAnsi="仿宋" w:eastAsia="仿宋" w:cs="仿宋_GB2312"/>
          <w:color w:val="000000"/>
          <w:sz w:val="32"/>
          <w:szCs w:val="32"/>
        </w:rPr>
        <w:t>万元、工会经费万元</w:t>
      </w:r>
      <w:r>
        <w:rPr>
          <w:rFonts w:hint="eastAsia" w:ascii="仿宋" w:hAnsi="仿宋" w:eastAsia="仿宋"/>
          <w:spacing w:val="-20"/>
          <w:sz w:val="32"/>
          <w:szCs w:val="32"/>
        </w:rPr>
        <w:t>2.49</w:t>
      </w:r>
      <w:r>
        <w:rPr>
          <w:rFonts w:hint="eastAsia" w:ascii="仿宋" w:hAnsi="仿宋" w:eastAsia="仿宋" w:cs="仿宋_GB2312"/>
          <w:color w:val="000000"/>
          <w:sz w:val="32"/>
          <w:szCs w:val="32"/>
        </w:rPr>
        <w:t>、福利费万元</w:t>
      </w:r>
      <w:r>
        <w:rPr>
          <w:rFonts w:hint="eastAsia" w:ascii="仿宋" w:hAnsi="仿宋" w:eastAsia="仿宋"/>
          <w:spacing w:val="-20"/>
          <w:sz w:val="32"/>
          <w:szCs w:val="32"/>
        </w:rPr>
        <w:t>2.08</w:t>
      </w:r>
      <w:r>
        <w:rPr>
          <w:rFonts w:hint="eastAsia" w:ascii="仿宋" w:hAnsi="仿宋" w:eastAsia="仿宋" w:cs="仿宋_GB2312"/>
          <w:color w:val="000000"/>
          <w:sz w:val="32"/>
          <w:szCs w:val="32"/>
        </w:rPr>
        <w:t>、公务用车运行维护费</w:t>
      </w:r>
      <w:r>
        <w:rPr>
          <w:rFonts w:hint="eastAsia" w:ascii="仿宋" w:hAnsi="仿宋" w:eastAsia="仿宋"/>
          <w:spacing w:val="-20"/>
          <w:sz w:val="32"/>
          <w:szCs w:val="32"/>
        </w:rPr>
        <w:t>6.59</w:t>
      </w:r>
      <w:r>
        <w:rPr>
          <w:rFonts w:hint="eastAsia" w:ascii="仿宋" w:hAnsi="仿宋" w:eastAsia="仿宋" w:cs="仿宋_GB2312"/>
          <w:color w:val="000000"/>
          <w:sz w:val="32"/>
          <w:szCs w:val="32"/>
        </w:rPr>
        <w:t>万元等。</w:t>
      </w:r>
    </w:p>
    <w:p>
      <w:pPr>
        <w:spacing w:line="560" w:lineRule="exact"/>
        <w:ind w:firstLine="641"/>
        <w:outlineLvl w:val="1"/>
        <w:rPr>
          <w:rStyle w:val="25"/>
          <w:rFonts w:ascii="黑体" w:hAnsi="黑体" w:eastAsia="黑体"/>
          <w:b w:val="0"/>
        </w:rPr>
      </w:pPr>
      <w:bookmarkStart w:id="34" w:name="_Toc15377215"/>
      <w:bookmarkStart w:id="35"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34"/>
      <w:bookmarkEnd w:id="35"/>
    </w:p>
    <w:p>
      <w:pPr>
        <w:spacing w:line="560" w:lineRule="exact"/>
        <w:ind w:firstLine="641"/>
        <w:outlineLvl w:val="2"/>
        <w:rPr>
          <w:rFonts w:ascii="楷体_GB2312" w:hAnsi="楷体_GB2312" w:eastAsia="楷体_GB2312" w:cs="楷体_GB2312"/>
          <w:b/>
          <w:color w:val="000000"/>
          <w:sz w:val="32"/>
          <w:szCs w:val="32"/>
        </w:rPr>
      </w:pPr>
      <w:bookmarkStart w:id="36" w:name="_Toc15377216"/>
      <w:r>
        <w:rPr>
          <w:rFonts w:hint="eastAsia" w:ascii="楷体_GB2312" w:hAnsi="楷体_GB2312" w:eastAsia="楷体_GB2312" w:cs="楷体_GB2312"/>
          <w:b/>
          <w:color w:val="000000"/>
          <w:sz w:val="32"/>
          <w:szCs w:val="32"/>
        </w:rPr>
        <w:t>（一）“三公”经费财政拨款支出决算总体情况说明</w:t>
      </w:r>
      <w:bookmarkEnd w:id="36"/>
    </w:p>
    <w:p>
      <w:pPr>
        <w:spacing w:line="560" w:lineRule="exact"/>
        <w:ind w:firstLine="641"/>
        <w:rPr>
          <w:rFonts w:ascii="仿宋" w:hAnsi="仿宋" w:eastAsia="仿宋" w:cs="仿宋_GB2312"/>
          <w:color w:val="000000"/>
          <w:sz w:val="32"/>
          <w:szCs w:val="32"/>
        </w:rPr>
      </w:pPr>
      <w:r>
        <w:rPr>
          <w:rFonts w:hint="eastAsia" w:ascii="仿宋" w:hAnsi="仿宋" w:eastAsia="仿宋"/>
          <w:spacing w:val="-20"/>
          <w:sz w:val="32"/>
          <w:szCs w:val="32"/>
        </w:rPr>
        <w:t>2020</w:t>
      </w:r>
      <w:r>
        <w:rPr>
          <w:rFonts w:hint="eastAsia" w:ascii="仿宋" w:hAnsi="仿宋" w:eastAsia="仿宋" w:cs="仿宋_GB2312"/>
          <w:color w:val="000000"/>
          <w:sz w:val="32"/>
          <w:szCs w:val="32"/>
        </w:rPr>
        <w:t>年“三公”经费财政拨款支出决算为</w:t>
      </w:r>
      <w:r>
        <w:rPr>
          <w:rFonts w:hint="eastAsia" w:ascii="仿宋" w:hAnsi="仿宋" w:eastAsia="仿宋"/>
          <w:spacing w:val="-20"/>
          <w:sz w:val="32"/>
          <w:szCs w:val="32"/>
        </w:rPr>
        <w:t>6.59</w:t>
      </w:r>
      <w:r>
        <w:rPr>
          <w:rFonts w:hint="eastAsia" w:ascii="仿宋" w:hAnsi="仿宋" w:eastAsia="仿宋" w:cs="仿宋_GB2312"/>
          <w:color w:val="000000"/>
          <w:sz w:val="32"/>
          <w:szCs w:val="32"/>
        </w:rPr>
        <w:t>元，完成预算</w:t>
      </w:r>
      <w:r>
        <w:rPr>
          <w:rFonts w:hint="eastAsia" w:ascii="仿宋" w:hAnsi="仿宋" w:eastAsia="仿宋"/>
          <w:spacing w:val="-20"/>
          <w:sz w:val="32"/>
          <w:szCs w:val="32"/>
        </w:rPr>
        <w:t>69.37%</w:t>
      </w:r>
      <w:r>
        <w:rPr>
          <w:rFonts w:hint="eastAsia" w:ascii="仿宋" w:hAnsi="仿宋" w:eastAsia="仿宋" w:cs="仿宋_GB2312"/>
          <w:color w:val="000000"/>
          <w:sz w:val="32"/>
          <w:szCs w:val="32"/>
        </w:rPr>
        <w:t>，决算数小于预算数的主要原因是，单位厉行节约，压减“三公”经费支出。</w:t>
      </w:r>
    </w:p>
    <w:p>
      <w:pPr>
        <w:spacing w:line="560" w:lineRule="exact"/>
        <w:ind w:firstLine="641"/>
        <w:outlineLvl w:val="2"/>
        <w:rPr>
          <w:rFonts w:ascii="楷体_GB2312" w:hAnsi="楷体_GB2312" w:eastAsia="楷体_GB2312" w:cs="楷体_GB2312"/>
          <w:b/>
          <w:color w:val="000000"/>
          <w:sz w:val="32"/>
          <w:szCs w:val="32"/>
        </w:rPr>
      </w:pPr>
      <w:bookmarkStart w:id="37" w:name="_Toc15377217"/>
      <w:r>
        <w:rPr>
          <w:rFonts w:hint="eastAsia" w:ascii="楷体_GB2312" w:hAnsi="楷体_GB2312" w:eastAsia="楷体_GB2312" w:cs="楷体_GB2312"/>
          <w:b/>
          <w:color w:val="000000"/>
          <w:sz w:val="32"/>
          <w:szCs w:val="32"/>
        </w:rPr>
        <w:t>（二）“三公”经费财政拨款支出决算具体情况说明</w:t>
      </w:r>
      <w:bookmarkEnd w:id="37"/>
    </w:p>
    <w:p>
      <w:pPr>
        <w:spacing w:line="560" w:lineRule="exact"/>
        <w:ind w:firstLine="641"/>
        <w:rPr>
          <w:rFonts w:ascii="仿宋" w:hAnsi="仿宋" w:eastAsia="仿宋" w:cs="仿宋_GB2312"/>
          <w:color w:val="000000"/>
          <w:sz w:val="32"/>
          <w:szCs w:val="32"/>
        </w:rPr>
      </w:pPr>
      <w:r>
        <w:rPr>
          <w:rFonts w:hint="eastAsia" w:ascii="仿宋" w:hAnsi="仿宋" w:eastAsia="仿宋"/>
          <w:spacing w:val="-20"/>
          <w:sz w:val="32"/>
          <w:szCs w:val="32"/>
        </w:rPr>
        <w:t>2020</w:t>
      </w:r>
      <w:r>
        <w:rPr>
          <w:rFonts w:hint="eastAsia" w:ascii="仿宋" w:hAnsi="仿宋" w:eastAsia="仿宋" w:cs="仿宋_GB2312"/>
          <w:color w:val="000000"/>
          <w:sz w:val="32"/>
          <w:szCs w:val="32"/>
        </w:rPr>
        <w:t>年“三公”经费财政拨款支出决算中，因公出国（境）费支出决算</w:t>
      </w:r>
      <w:r>
        <w:rPr>
          <w:rFonts w:hint="eastAsia" w:ascii="仿宋" w:hAnsi="仿宋" w:eastAsia="仿宋"/>
          <w:spacing w:val="-20"/>
          <w:sz w:val="32"/>
          <w:szCs w:val="32"/>
        </w:rPr>
        <w:t>0</w:t>
      </w:r>
      <w:r>
        <w:rPr>
          <w:rFonts w:hint="eastAsia" w:ascii="仿宋" w:hAnsi="仿宋" w:eastAsia="仿宋" w:cs="仿宋_GB2312"/>
          <w:color w:val="000000"/>
          <w:sz w:val="32"/>
          <w:szCs w:val="32"/>
        </w:rPr>
        <w:t>万元，占</w:t>
      </w:r>
      <w:r>
        <w:rPr>
          <w:rFonts w:hint="eastAsia" w:ascii="仿宋" w:hAnsi="仿宋" w:eastAsia="仿宋"/>
          <w:spacing w:val="-20"/>
          <w:sz w:val="32"/>
          <w:szCs w:val="32"/>
        </w:rPr>
        <w:t>0%</w:t>
      </w:r>
      <w:r>
        <w:rPr>
          <w:rFonts w:hint="eastAsia" w:ascii="仿宋" w:hAnsi="仿宋" w:eastAsia="仿宋" w:cs="仿宋_GB2312"/>
          <w:color w:val="000000"/>
          <w:sz w:val="32"/>
          <w:szCs w:val="32"/>
        </w:rPr>
        <w:t>；公务用车购置及运行维护费支出决算</w:t>
      </w:r>
      <w:r>
        <w:rPr>
          <w:rFonts w:hint="eastAsia" w:ascii="仿宋" w:hAnsi="仿宋" w:eastAsia="仿宋"/>
          <w:spacing w:val="-20"/>
          <w:sz w:val="32"/>
          <w:szCs w:val="32"/>
        </w:rPr>
        <w:t>6.59</w:t>
      </w:r>
      <w:r>
        <w:rPr>
          <w:rFonts w:hint="eastAsia" w:ascii="仿宋" w:hAnsi="仿宋" w:eastAsia="仿宋" w:cs="仿宋_GB2312"/>
          <w:color w:val="000000"/>
          <w:sz w:val="32"/>
          <w:szCs w:val="32"/>
        </w:rPr>
        <w:t>万元，占</w:t>
      </w:r>
      <w:r>
        <w:rPr>
          <w:rFonts w:hint="eastAsia" w:ascii="仿宋" w:hAnsi="仿宋" w:eastAsia="仿宋"/>
          <w:spacing w:val="-20"/>
          <w:sz w:val="32"/>
          <w:szCs w:val="32"/>
        </w:rPr>
        <w:t>100%</w:t>
      </w:r>
      <w:r>
        <w:rPr>
          <w:rFonts w:hint="eastAsia" w:ascii="仿宋" w:hAnsi="仿宋" w:eastAsia="仿宋" w:cs="仿宋_GB2312"/>
          <w:color w:val="000000"/>
          <w:sz w:val="32"/>
          <w:szCs w:val="32"/>
        </w:rPr>
        <w:t>；公务接待费支出决算</w:t>
      </w:r>
      <w:r>
        <w:rPr>
          <w:rFonts w:hint="eastAsia" w:ascii="仿宋" w:hAnsi="仿宋" w:eastAsia="仿宋"/>
          <w:spacing w:val="-20"/>
          <w:sz w:val="32"/>
          <w:szCs w:val="32"/>
        </w:rPr>
        <w:t>0</w:t>
      </w:r>
      <w:r>
        <w:rPr>
          <w:rFonts w:hint="eastAsia" w:ascii="仿宋" w:hAnsi="仿宋" w:eastAsia="仿宋" w:cs="仿宋_GB2312"/>
          <w:color w:val="000000"/>
          <w:sz w:val="32"/>
          <w:szCs w:val="32"/>
        </w:rPr>
        <w:t>万元，占</w:t>
      </w:r>
      <w:r>
        <w:rPr>
          <w:rFonts w:hint="eastAsia" w:ascii="仿宋" w:hAnsi="仿宋" w:eastAsia="仿宋"/>
          <w:spacing w:val="-20"/>
          <w:sz w:val="32"/>
          <w:szCs w:val="32"/>
        </w:rPr>
        <w:t>0%</w:t>
      </w:r>
      <w:r>
        <w:rPr>
          <w:rFonts w:hint="eastAsia" w:ascii="仿宋" w:hAnsi="仿宋" w:eastAsia="仿宋" w:cs="仿宋_GB2312"/>
          <w:color w:val="000000"/>
          <w:sz w:val="32"/>
          <w:szCs w:val="32"/>
        </w:rPr>
        <w:t>。具体情况如下：</w:t>
      </w:r>
    </w:p>
    <w:p>
      <w:pPr>
        <w:spacing w:line="560" w:lineRule="exact"/>
        <w:ind w:firstLine="641"/>
        <w:rPr>
          <w:rFonts w:ascii="仿宋" w:hAnsi="仿宋" w:eastAsia="仿宋" w:cs="仿宋_GB2312"/>
          <w:color w:val="000000"/>
          <w:sz w:val="32"/>
          <w:szCs w:val="32"/>
        </w:rPr>
      </w:pPr>
      <w:r>
        <w:rPr>
          <w:rFonts w:hint="eastAsia" w:ascii="仿宋" w:hAnsi="仿宋" w:eastAsia="仿宋" w:cs="仿宋_GB2312"/>
          <w:color w:val="000000"/>
          <w:sz w:val="32"/>
          <w:szCs w:val="32"/>
        </w:rPr>
        <w:t>（图</w:t>
      </w:r>
      <w:r>
        <w:rPr>
          <w:rFonts w:hint="eastAsia" w:ascii="仿宋" w:hAnsi="仿宋" w:eastAsia="仿宋"/>
          <w:spacing w:val="-20"/>
          <w:sz w:val="32"/>
          <w:szCs w:val="32"/>
        </w:rPr>
        <w:t>7</w:t>
      </w:r>
      <w:r>
        <w:rPr>
          <w:rFonts w:hint="eastAsia" w:ascii="仿宋" w:hAnsi="仿宋" w:eastAsia="仿宋" w:cs="仿宋_GB2312"/>
          <w:color w:val="000000"/>
          <w:sz w:val="32"/>
          <w:szCs w:val="32"/>
        </w:rPr>
        <w:t>：“三公”经费财政拨款支出结构）（饼状图）</w:t>
      </w:r>
    </w:p>
    <w:p>
      <w:pPr>
        <w:spacing w:line="600" w:lineRule="exact"/>
        <w:ind w:firstLine="640"/>
        <w:rPr>
          <w:rFonts w:ascii="仿宋" w:hAnsi="仿宋" w:eastAsia="仿宋"/>
          <w:color w:val="000000"/>
          <w:sz w:val="32"/>
          <w:szCs w:val="32"/>
        </w:rPr>
      </w:pPr>
    </w:p>
    <w:p>
      <w:pPr>
        <w:ind w:firstLine="641"/>
        <w:rPr>
          <w:rFonts w:ascii="仿宋" w:hAnsi="仿宋" w:eastAsia="仿宋"/>
          <w:color w:val="000000"/>
          <w:sz w:val="32"/>
          <w:szCs w:val="32"/>
        </w:rPr>
      </w:pPr>
      <w:r>
        <w:rPr>
          <w:rFonts w:ascii="仿宋" w:hAnsi="仿宋" w:eastAsia="仿宋"/>
          <w:color w:val="000000"/>
          <w:sz w:val="32"/>
          <w:szCs w:val="32"/>
        </w:rPr>
        <w:drawing>
          <wp:inline distT="0" distB="0" distL="0" distR="0">
            <wp:extent cx="4572000" cy="2743200"/>
            <wp:effectExtent l="19050" t="0" r="19050" b="0"/>
            <wp:docPr id="16"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1"/>
        <w:rPr>
          <w:rFonts w:ascii="仿宋" w:hAnsi="仿宋" w:eastAsia="仿宋"/>
          <w:color w:val="000000"/>
          <w:sz w:val="32"/>
          <w:szCs w:val="32"/>
        </w:rPr>
      </w:pPr>
    </w:p>
    <w:p>
      <w:pPr>
        <w:spacing w:line="560" w:lineRule="exact"/>
        <w:ind w:firstLine="640"/>
        <w:rPr>
          <w:rFonts w:ascii="仿宋" w:hAnsi="仿宋" w:eastAsia="仿宋" w:cs="仿宋_GB2312"/>
          <w:color w:val="000000"/>
          <w:sz w:val="32"/>
          <w:szCs w:val="32"/>
        </w:rPr>
      </w:pPr>
      <w:r>
        <w:rPr>
          <w:rFonts w:hint="eastAsia" w:ascii="仿宋_GB2312" w:hAnsi="仿宋_GB2312" w:eastAsia="仿宋_GB2312" w:cs="仿宋_GB2312"/>
          <w:b/>
          <w:color w:val="000000"/>
          <w:sz w:val="32"/>
          <w:szCs w:val="32"/>
        </w:rPr>
        <w:t>1.因公出国（境）经费支出</w:t>
      </w:r>
      <w:r>
        <w:rPr>
          <w:rFonts w:hint="eastAsia" w:ascii="仿宋" w:hAnsi="仿宋" w:eastAsia="仿宋"/>
          <w:spacing w:val="-20"/>
          <w:sz w:val="32"/>
          <w:szCs w:val="32"/>
        </w:rPr>
        <w:t>0</w:t>
      </w:r>
      <w:r>
        <w:rPr>
          <w:rFonts w:hint="eastAsia" w:ascii="仿宋" w:hAnsi="仿宋" w:eastAsia="仿宋" w:cs="仿宋_GB2312"/>
          <w:color w:val="000000"/>
          <w:sz w:val="32"/>
          <w:szCs w:val="32"/>
        </w:rPr>
        <w:t>万元，</w:t>
      </w:r>
      <w:r>
        <w:rPr>
          <w:rStyle w:val="14"/>
          <w:rFonts w:hint="eastAsia" w:ascii="仿宋" w:hAnsi="仿宋" w:eastAsia="仿宋" w:cs="仿宋_GB2312"/>
          <w:b w:val="0"/>
          <w:bCs/>
          <w:color w:val="000000"/>
          <w:sz w:val="32"/>
          <w:szCs w:val="32"/>
        </w:rPr>
        <w:t>完成预算0%。</w:t>
      </w:r>
      <w:r>
        <w:rPr>
          <w:rFonts w:hint="eastAsia" w:ascii="仿宋" w:hAnsi="仿宋" w:eastAsia="仿宋" w:cs="仿宋_GB2312"/>
          <w:color w:val="000000"/>
          <w:sz w:val="32"/>
          <w:szCs w:val="32"/>
        </w:rPr>
        <w:t>全年安排因公出国（境）团组</w:t>
      </w:r>
      <w:r>
        <w:rPr>
          <w:rFonts w:hint="eastAsia" w:ascii="仿宋" w:hAnsi="仿宋" w:eastAsia="仿宋"/>
          <w:spacing w:val="-20"/>
          <w:sz w:val="32"/>
          <w:szCs w:val="32"/>
        </w:rPr>
        <w:t>0</w:t>
      </w:r>
      <w:r>
        <w:rPr>
          <w:rFonts w:hint="eastAsia" w:ascii="仿宋" w:hAnsi="仿宋" w:eastAsia="仿宋" w:cs="仿宋_GB2312"/>
          <w:color w:val="000000"/>
          <w:sz w:val="32"/>
          <w:szCs w:val="32"/>
        </w:rPr>
        <w:t>次，出国（境）</w:t>
      </w:r>
      <w:r>
        <w:rPr>
          <w:rFonts w:hint="eastAsia" w:ascii="仿宋" w:hAnsi="仿宋" w:eastAsia="仿宋"/>
          <w:spacing w:val="-20"/>
          <w:sz w:val="32"/>
          <w:szCs w:val="32"/>
        </w:rPr>
        <w:t>0</w:t>
      </w:r>
      <w:r>
        <w:rPr>
          <w:rFonts w:hint="eastAsia" w:ascii="仿宋" w:hAnsi="仿宋" w:eastAsia="仿宋" w:cs="仿宋_GB2312"/>
          <w:color w:val="000000"/>
          <w:sz w:val="32"/>
          <w:szCs w:val="32"/>
        </w:rPr>
        <w:t>人。因公出国（境）支出</w:t>
      </w:r>
      <w:r>
        <w:rPr>
          <w:rFonts w:hint="eastAsia" w:ascii="仿宋" w:hAnsi="仿宋" w:eastAsia="仿宋"/>
          <w:spacing w:val="-20"/>
          <w:sz w:val="32"/>
          <w:szCs w:val="32"/>
        </w:rPr>
        <w:t>2019</w:t>
      </w:r>
      <w:r>
        <w:rPr>
          <w:rFonts w:hint="eastAsia" w:ascii="仿宋" w:hAnsi="仿宋" w:eastAsia="仿宋" w:cs="仿宋_GB2312"/>
          <w:color w:val="000000"/>
          <w:sz w:val="32"/>
          <w:szCs w:val="32"/>
        </w:rPr>
        <w:t>年决算为</w:t>
      </w:r>
      <w:r>
        <w:rPr>
          <w:rFonts w:hint="eastAsia" w:ascii="仿宋" w:hAnsi="仿宋" w:eastAsia="仿宋"/>
          <w:spacing w:val="-20"/>
          <w:sz w:val="32"/>
          <w:szCs w:val="32"/>
        </w:rPr>
        <w:t>0</w:t>
      </w:r>
      <w:r>
        <w:rPr>
          <w:rFonts w:hint="eastAsia" w:ascii="仿宋" w:hAnsi="仿宋" w:eastAsia="仿宋" w:cs="仿宋_GB2312"/>
          <w:color w:val="000000"/>
          <w:sz w:val="32"/>
          <w:szCs w:val="32"/>
        </w:rPr>
        <w:t xml:space="preserve">万元。  </w:t>
      </w:r>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2.公务用车购置及运行维护费支出</w:t>
      </w:r>
      <w:r>
        <w:rPr>
          <w:rFonts w:hint="eastAsia" w:ascii="仿宋" w:hAnsi="仿宋" w:eastAsia="仿宋"/>
          <w:spacing w:val="-20"/>
          <w:sz w:val="32"/>
          <w:szCs w:val="32"/>
        </w:rPr>
        <w:t>6.59</w:t>
      </w:r>
      <w:r>
        <w:rPr>
          <w:rFonts w:hint="eastAsia" w:ascii="仿宋" w:hAnsi="仿宋" w:eastAsia="仿宋" w:cs="仿宋_GB2312"/>
          <w:color w:val="000000"/>
          <w:sz w:val="32"/>
          <w:szCs w:val="32"/>
        </w:rPr>
        <w:t>万元,</w:t>
      </w:r>
      <w:r>
        <w:rPr>
          <w:rStyle w:val="14"/>
          <w:rFonts w:hint="eastAsia" w:ascii="仿宋" w:hAnsi="仿宋" w:eastAsia="仿宋" w:cs="仿宋_GB2312"/>
          <w:b w:val="0"/>
          <w:bCs/>
          <w:color w:val="000000"/>
          <w:sz w:val="32"/>
          <w:szCs w:val="32"/>
        </w:rPr>
        <w:t>完成预算</w:t>
      </w:r>
      <w:r>
        <w:rPr>
          <w:rFonts w:hint="eastAsia" w:ascii="仿宋" w:hAnsi="仿宋" w:eastAsia="仿宋"/>
          <w:spacing w:val="-20"/>
          <w:sz w:val="32"/>
          <w:szCs w:val="32"/>
        </w:rPr>
        <w:t>81.36%</w:t>
      </w:r>
      <w:r>
        <w:rPr>
          <w:rStyle w:val="14"/>
          <w:rFonts w:hint="eastAsia" w:ascii="仿宋" w:hAnsi="仿宋" w:eastAsia="仿宋" w:cs="仿宋_GB2312"/>
          <w:b w:val="0"/>
          <w:bCs/>
          <w:color w:val="000000"/>
          <w:sz w:val="32"/>
          <w:szCs w:val="32"/>
        </w:rPr>
        <w:t>。</w:t>
      </w:r>
      <w:r>
        <w:rPr>
          <w:rFonts w:hint="eastAsia" w:ascii="仿宋" w:hAnsi="仿宋" w:eastAsia="仿宋" w:cs="仿宋_GB2312"/>
          <w:color w:val="000000"/>
          <w:sz w:val="32"/>
          <w:szCs w:val="32"/>
        </w:rPr>
        <w:t>公务用车购置及运行维护费支出决算比</w:t>
      </w:r>
      <w:r>
        <w:rPr>
          <w:rFonts w:hint="eastAsia" w:ascii="仿宋" w:hAnsi="仿宋" w:eastAsia="仿宋"/>
          <w:spacing w:val="-20"/>
          <w:sz w:val="32"/>
          <w:szCs w:val="32"/>
        </w:rPr>
        <w:t>2019</w:t>
      </w:r>
      <w:r>
        <w:rPr>
          <w:rFonts w:hint="eastAsia" w:ascii="仿宋" w:hAnsi="仿宋" w:eastAsia="仿宋" w:cs="仿宋_GB2312"/>
          <w:color w:val="000000"/>
          <w:sz w:val="32"/>
          <w:szCs w:val="32"/>
        </w:rPr>
        <w:t>年减少</w:t>
      </w:r>
      <w:r>
        <w:rPr>
          <w:rFonts w:hint="eastAsia" w:ascii="仿宋" w:hAnsi="仿宋" w:eastAsia="仿宋"/>
          <w:spacing w:val="-20"/>
          <w:sz w:val="32"/>
          <w:szCs w:val="32"/>
        </w:rPr>
        <w:t>1.51</w:t>
      </w:r>
      <w:r>
        <w:rPr>
          <w:rFonts w:hint="eastAsia" w:ascii="仿宋" w:hAnsi="仿宋" w:eastAsia="仿宋" w:cs="仿宋_GB2312"/>
          <w:color w:val="000000"/>
          <w:sz w:val="32"/>
          <w:szCs w:val="32"/>
        </w:rPr>
        <w:t>万元，下降</w:t>
      </w:r>
      <w:r>
        <w:rPr>
          <w:rFonts w:hint="eastAsia" w:ascii="仿宋" w:hAnsi="仿宋" w:eastAsia="仿宋"/>
          <w:spacing w:val="-20"/>
          <w:sz w:val="32"/>
          <w:szCs w:val="32"/>
        </w:rPr>
        <w:t>18.64%</w:t>
      </w:r>
      <w:r>
        <w:rPr>
          <w:rFonts w:hint="eastAsia" w:ascii="仿宋" w:hAnsi="仿宋" w:eastAsia="仿宋" w:cs="仿宋_GB2312"/>
          <w:color w:val="000000"/>
          <w:sz w:val="32"/>
          <w:szCs w:val="32"/>
        </w:rPr>
        <w:t>。主要原因是单位厉行节约，压减“三公”经费支出。</w:t>
      </w:r>
    </w:p>
    <w:p>
      <w:pPr>
        <w:spacing w:line="560" w:lineRule="exact"/>
        <w:ind w:firstLine="640" w:firstLineChars="200"/>
        <w:rPr>
          <w:rFonts w:ascii="仿宋" w:hAnsi="仿宋" w:eastAsia="仿宋" w:cs="仿宋_GB2312"/>
          <w:b/>
          <w:color w:val="000000"/>
          <w:sz w:val="32"/>
          <w:szCs w:val="32"/>
        </w:rPr>
      </w:pPr>
      <w:r>
        <w:rPr>
          <w:rFonts w:hint="eastAsia" w:ascii="仿宋_GB2312" w:hAnsi="仿宋_GB2312" w:eastAsia="仿宋_GB2312" w:cs="仿宋_GB2312"/>
          <w:color w:val="000000"/>
          <w:sz w:val="32"/>
          <w:szCs w:val="32"/>
        </w:rPr>
        <w:t>其中：</w:t>
      </w:r>
      <w:r>
        <w:rPr>
          <w:rFonts w:hint="eastAsia" w:ascii="仿宋_GB2312" w:hAnsi="仿宋_GB2312" w:eastAsia="仿宋_GB2312" w:cs="仿宋_GB2312"/>
          <w:b/>
          <w:color w:val="000000"/>
          <w:sz w:val="32"/>
          <w:szCs w:val="32"/>
        </w:rPr>
        <w:t>公务用车购置支出</w:t>
      </w:r>
      <w:r>
        <w:rPr>
          <w:rFonts w:hint="eastAsia" w:eastAsia="仿宋_GB2312"/>
          <w:spacing w:val="-20"/>
          <w:sz w:val="32"/>
          <w:szCs w:val="32"/>
        </w:rPr>
        <w:t>0</w:t>
      </w:r>
      <w:r>
        <w:rPr>
          <w:rFonts w:hint="eastAsia" w:ascii="仿宋_GB2312" w:hAnsi="仿宋_GB2312" w:eastAsia="仿宋_GB2312" w:cs="仿宋_GB2312"/>
          <w:color w:val="000000"/>
          <w:sz w:val="32"/>
          <w:szCs w:val="32"/>
        </w:rPr>
        <w:t>万元。</w:t>
      </w:r>
      <w:r>
        <w:rPr>
          <w:rFonts w:hint="eastAsia" w:ascii="仿宋" w:hAnsi="仿宋" w:eastAsia="仿宋" w:cs="仿宋_GB2312"/>
          <w:color w:val="000000"/>
          <w:sz w:val="32"/>
          <w:szCs w:val="32"/>
        </w:rPr>
        <w:t>全年按规定更新购置公务用车</w:t>
      </w:r>
      <w:r>
        <w:rPr>
          <w:rFonts w:hint="eastAsia" w:ascii="仿宋" w:hAnsi="仿宋" w:eastAsia="仿宋"/>
          <w:spacing w:val="-20"/>
          <w:sz w:val="32"/>
          <w:szCs w:val="32"/>
        </w:rPr>
        <w:t>0</w:t>
      </w:r>
      <w:r>
        <w:rPr>
          <w:rFonts w:hint="eastAsia" w:ascii="仿宋" w:hAnsi="仿宋" w:eastAsia="仿宋" w:cs="仿宋_GB2312"/>
          <w:color w:val="000000"/>
          <w:sz w:val="32"/>
          <w:szCs w:val="32"/>
        </w:rPr>
        <w:t>辆，其中：轿车</w:t>
      </w:r>
      <w:r>
        <w:rPr>
          <w:rFonts w:hint="eastAsia" w:ascii="仿宋" w:hAnsi="仿宋" w:eastAsia="仿宋"/>
          <w:spacing w:val="-20"/>
          <w:sz w:val="32"/>
          <w:szCs w:val="32"/>
        </w:rPr>
        <w:t>0</w:t>
      </w:r>
      <w:r>
        <w:rPr>
          <w:rFonts w:hint="eastAsia" w:ascii="仿宋" w:hAnsi="仿宋" w:eastAsia="仿宋" w:cs="仿宋_GB2312"/>
          <w:color w:val="000000"/>
          <w:sz w:val="32"/>
          <w:szCs w:val="32"/>
        </w:rPr>
        <w:t>辆、金额</w:t>
      </w:r>
      <w:r>
        <w:rPr>
          <w:rFonts w:hint="eastAsia" w:ascii="仿宋" w:hAnsi="仿宋" w:eastAsia="仿宋"/>
          <w:spacing w:val="-20"/>
          <w:sz w:val="32"/>
          <w:szCs w:val="32"/>
        </w:rPr>
        <w:t>0</w:t>
      </w:r>
      <w:r>
        <w:rPr>
          <w:rFonts w:hint="eastAsia" w:ascii="仿宋" w:hAnsi="仿宋" w:eastAsia="仿宋" w:cs="仿宋_GB2312"/>
          <w:color w:val="000000"/>
          <w:sz w:val="32"/>
          <w:szCs w:val="32"/>
        </w:rPr>
        <w:t>万元，越野车</w:t>
      </w:r>
      <w:r>
        <w:rPr>
          <w:rFonts w:hint="eastAsia" w:ascii="仿宋" w:hAnsi="仿宋" w:eastAsia="仿宋"/>
          <w:spacing w:val="-20"/>
          <w:sz w:val="32"/>
          <w:szCs w:val="32"/>
        </w:rPr>
        <w:t>0</w:t>
      </w:r>
      <w:r>
        <w:rPr>
          <w:rFonts w:hint="eastAsia" w:ascii="仿宋" w:hAnsi="仿宋" w:eastAsia="仿宋" w:cs="仿宋_GB2312"/>
          <w:color w:val="000000"/>
          <w:sz w:val="32"/>
          <w:szCs w:val="32"/>
        </w:rPr>
        <w:t>辆、金额</w:t>
      </w:r>
      <w:r>
        <w:rPr>
          <w:rFonts w:hint="eastAsia" w:ascii="仿宋" w:hAnsi="仿宋" w:eastAsia="仿宋"/>
          <w:spacing w:val="-20"/>
          <w:sz w:val="32"/>
          <w:szCs w:val="32"/>
        </w:rPr>
        <w:t>0</w:t>
      </w:r>
      <w:r>
        <w:rPr>
          <w:rFonts w:hint="eastAsia" w:ascii="仿宋" w:hAnsi="仿宋" w:eastAsia="仿宋" w:cs="仿宋_GB2312"/>
          <w:color w:val="000000"/>
          <w:sz w:val="32"/>
          <w:szCs w:val="32"/>
        </w:rPr>
        <w:t>万元，载客汽车</w:t>
      </w:r>
      <w:r>
        <w:rPr>
          <w:rFonts w:hint="eastAsia" w:ascii="仿宋" w:hAnsi="仿宋" w:eastAsia="仿宋"/>
          <w:spacing w:val="-20"/>
          <w:sz w:val="32"/>
          <w:szCs w:val="32"/>
        </w:rPr>
        <w:t>0</w:t>
      </w:r>
      <w:r>
        <w:rPr>
          <w:rFonts w:hint="eastAsia" w:ascii="仿宋" w:hAnsi="仿宋" w:eastAsia="仿宋" w:cs="仿宋_GB2312"/>
          <w:color w:val="000000"/>
          <w:sz w:val="32"/>
          <w:szCs w:val="32"/>
        </w:rPr>
        <w:t>辆、金额0万元。截至</w:t>
      </w:r>
      <w:r>
        <w:rPr>
          <w:rFonts w:hint="eastAsia" w:ascii="仿宋" w:hAnsi="仿宋" w:eastAsia="仿宋"/>
          <w:spacing w:val="-20"/>
          <w:sz w:val="32"/>
          <w:szCs w:val="32"/>
        </w:rPr>
        <w:t>2020</w:t>
      </w:r>
      <w:r>
        <w:rPr>
          <w:rFonts w:hint="eastAsia" w:ascii="仿宋" w:hAnsi="仿宋" w:eastAsia="仿宋" w:cs="仿宋_GB2312"/>
          <w:color w:val="000000"/>
          <w:sz w:val="32"/>
          <w:szCs w:val="32"/>
        </w:rPr>
        <w:t>年</w:t>
      </w:r>
      <w:r>
        <w:rPr>
          <w:rFonts w:hint="eastAsia" w:ascii="仿宋" w:hAnsi="仿宋" w:eastAsia="仿宋"/>
          <w:spacing w:val="-20"/>
          <w:sz w:val="32"/>
          <w:szCs w:val="32"/>
        </w:rPr>
        <w:t>12</w:t>
      </w:r>
      <w:r>
        <w:rPr>
          <w:rFonts w:hint="eastAsia" w:ascii="仿宋" w:hAnsi="仿宋" w:eastAsia="仿宋" w:cs="仿宋_GB2312"/>
          <w:color w:val="000000"/>
          <w:sz w:val="32"/>
          <w:szCs w:val="32"/>
        </w:rPr>
        <w:t>月底，单位共有公务用车</w:t>
      </w:r>
      <w:r>
        <w:rPr>
          <w:rFonts w:hint="eastAsia" w:ascii="仿宋" w:hAnsi="仿宋" w:eastAsia="仿宋"/>
          <w:spacing w:val="-20"/>
          <w:sz w:val="32"/>
          <w:szCs w:val="32"/>
        </w:rPr>
        <w:t>3</w:t>
      </w:r>
      <w:r>
        <w:rPr>
          <w:rFonts w:hint="eastAsia" w:ascii="仿宋" w:hAnsi="仿宋" w:eastAsia="仿宋" w:cs="仿宋_GB2312"/>
          <w:color w:val="000000"/>
          <w:sz w:val="32"/>
          <w:szCs w:val="32"/>
        </w:rPr>
        <w:t>辆，其中：轿车</w:t>
      </w:r>
      <w:r>
        <w:rPr>
          <w:rFonts w:hint="eastAsia" w:ascii="仿宋" w:hAnsi="仿宋" w:eastAsia="仿宋"/>
          <w:spacing w:val="-20"/>
          <w:sz w:val="32"/>
          <w:szCs w:val="32"/>
        </w:rPr>
        <w:t>1</w:t>
      </w:r>
      <w:r>
        <w:rPr>
          <w:rFonts w:hint="eastAsia" w:ascii="仿宋" w:hAnsi="仿宋" w:eastAsia="仿宋" w:cs="仿宋_GB2312"/>
          <w:color w:val="000000"/>
          <w:sz w:val="32"/>
          <w:szCs w:val="32"/>
        </w:rPr>
        <w:t>辆、越野车</w:t>
      </w:r>
      <w:r>
        <w:rPr>
          <w:rFonts w:hint="eastAsia" w:ascii="仿宋" w:hAnsi="仿宋" w:eastAsia="仿宋"/>
          <w:spacing w:val="-20"/>
          <w:sz w:val="32"/>
          <w:szCs w:val="32"/>
        </w:rPr>
        <w:t>2</w:t>
      </w:r>
      <w:r>
        <w:rPr>
          <w:rFonts w:hint="eastAsia" w:ascii="仿宋" w:hAnsi="仿宋" w:eastAsia="仿宋" w:cs="仿宋_GB2312"/>
          <w:color w:val="000000"/>
          <w:sz w:val="32"/>
          <w:szCs w:val="32"/>
        </w:rPr>
        <w:t>辆、载客汽车</w:t>
      </w:r>
      <w:r>
        <w:rPr>
          <w:rFonts w:hint="eastAsia" w:ascii="仿宋" w:hAnsi="仿宋" w:eastAsia="仿宋"/>
          <w:spacing w:val="-20"/>
          <w:sz w:val="32"/>
          <w:szCs w:val="32"/>
        </w:rPr>
        <w:t>0</w:t>
      </w:r>
      <w:r>
        <w:rPr>
          <w:rFonts w:hint="eastAsia" w:ascii="仿宋" w:hAnsi="仿宋" w:eastAsia="仿宋" w:cs="仿宋_GB2312"/>
          <w:color w:val="000000"/>
          <w:sz w:val="32"/>
          <w:szCs w:val="32"/>
        </w:rPr>
        <w:t>辆。</w:t>
      </w:r>
    </w:p>
    <w:p>
      <w:pPr>
        <w:spacing w:line="560" w:lineRule="exact"/>
        <w:ind w:firstLine="640"/>
        <w:rPr>
          <w:rFonts w:ascii="仿宋" w:hAnsi="仿宋" w:eastAsia="仿宋" w:cs="仿宋_GB2312"/>
          <w:color w:val="000000"/>
          <w:sz w:val="32"/>
          <w:szCs w:val="32"/>
        </w:rPr>
      </w:pPr>
      <w:r>
        <w:rPr>
          <w:rFonts w:hint="eastAsia" w:ascii="仿宋_GB2312" w:hAnsi="仿宋_GB2312" w:eastAsia="仿宋_GB2312" w:cs="仿宋_GB2312"/>
          <w:b/>
          <w:color w:val="000000"/>
          <w:sz w:val="32"/>
          <w:szCs w:val="32"/>
        </w:rPr>
        <w:t>公务用车运行维护费支出</w:t>
      </w:r>
      <w:r>
        <w:rPr>
          <w:rFonts w:hint="eastAsia" w:eastAsia="仿宋_GB2312"/>
          <w:spacing w:val="-20"/>
          <w:sz w:val="32"/>
          <w:szCs w:val="32"/>
        </w:rPr>
        <w:t>6.59</w:t>
      </w:r>
      <w:r>
        <w:rPr>
          <w:rFonts w:hint="eastAsia" w:ascii="仿宋_GB2312" w:hAnsi="仿宋_GB2312" w:eastAsia="仿宋_GB2312" w:cs="仿宋_GB2312"/>
          <w:color w:val="000000"/>
          <w:sz w:val="32"/>
          <w:szCs w:val="32"/>
        </w:rPr>
        <w:t>万元。</w:t>
      </w:r>
      <w:r>
        <w:rPr>
          <w:rFonts w:hint="eastAsia" w:ascii="仿宋" w:hAnsi="仿宋" w:eastAsia="仿宋" w:cs="仿宋_GB2312"/>
          <w:color w:val="000000"/>
          <w:sz w:val="32"/>
          <w:szCs w:val="32"/>
        </w:rPr>
        <w:t>主要用于国有资产管理（具体工作）等所需的公务用车燃料费、维修费、过路过桥费、保险费等支出。</w:t>
      </w:r>
    </w:p>
    <w:p>
      <w:pPr>
        <w:spacing w:line="560" w:lineRule="exact"/>
        <w:ind w:firstLine="640"/>
        <w:rPr>
          <w:rFonts w:ascii="仿宋" w:hAnsi="仿宋" w:eastAsia="仿宋" w:cs="仿宋_GB2312"/>
          <w:color w:val="000000"/>
          <w:sz w:val="32"/>
          <w:szCs w:val="32"/>
        </w:rPr>
      </w:pPr>
      <w:r>
        <w:rPr>
          <w:rFonts w:hint="eastAsia" w:ascii="仿宋_GB2312" w:hAnsi="仿宋_GB2312" w:eastAsia="仿宋_GB2312" w:cs="仿宋_GB2312"/>
          <w:b/>
          <w:color w:val="000000"/>
          <w:sz w:val="32"/>
          <w:szCs w:val="32"/>
        </w:rPr>
        <w:t>3.公务接待费支出</w:t>
      </w:r>
      <w:r>
        <w:rPr>
          <w:rFonts w:hint="eastAsia" w:ascii="仿宋" w:hAnsi="仿宋" w:eastAsia="仿宋"/>
          <w:spacing w:val="-20"/>
          <w:sz w:val="32"/>
          <w:szCs w:val="32"/>
        </w:rPr>
        <w:t>0</w:t>
      </w:r>
      <w:r>
        <w:rPr>
          <w:rFonts w:hint="eastAsia" w:ascii="仿宋" w:hAnsi="仿宋" w:eastAsia="仿宋" w:cs="仿宋_GB2312"/>
          <w:color w:val="000000"/>
          <w:sz w:val="32"/>
          <w:szCs w:val="32"/>
        </w:rPr>
        <w:t>万元，</w:t>
      </w:r>
      <w:r>
        <w:rPr>
          <w:rStyle w:val="14"/>
          <w:rFonts w:hint="eastAsia" w:ascii="仿宋" w:hAnsi="仿宋" w:eastAsia="仿宋" w:cs="仿宋_GB2312"/>
          <w:b w:val="0"/>
          <w:bCs/>
          <w:color w:val="000000"/>
          <w:sz w:val="32"/>
          <w:szCs w:val="32"/>
        </w:rPr>
        <w:t>完成预算</w:t>
      </w:r>
      <w:r>
        <w:rPr>
          <w:rFonts w:hint="eastAsia" w:ascii="仿宋" w:hAnsi="仿宋" w:eastAsia="仿宋"/>
          <w:spacing w:val="-20"/>
          <w:sz w:val="32"/>
          <w:szCs w:val="32"/>
        </w:rPr>
        <w:t>0%</w:t>
      </w:r>
      <w:r>
        <w:rPr>
          <w:rStyle w:val="14"/>
          <w:rFonts w:hint="eastAsia" w:ascii="仿宋" w:hAnsi="仿宋" w:eastAsia="仿宋" w:cs="仿宋_GB2312"/>
          <w:b w:val="0"/>
          <w:bCs/>
          <w:color w:val="000000"/>
          <w:sz w:val="32"/>
          <w:szCs w:val="32"/>
        </w:rPr>
        <w:t>。</w:t>
      </w:r>
      <w:r>
        <w:rPr>
          <w:rFonts w:hint="eastAsia" w:ascii="仿宋" w:hAnsi="仿宋" w:eastAsia="仿宋" w:cs="仿宋_GB2312"/>
          <w:color w:val="000000"/>
          <w:sz w:val="32"/>
          <w:szCs w:val="32"/>
        </w:rPr>
        <w:t>公务接待费支出</w:t>
      </w:r>
      <w:r>
        <w:rPr>
          <w:rFonts w:hint="eastAsia" w:ascii="仿宋" w:hAnsi="仿宋" w:eastAsia="仿宋"/>
          <w:spacing w:val="-20"/>
          <w:sz w:val="32"/>
          <w:szCs w:val="32"/>
        </w:rPr>
        <w:t>2019</w:t>
      </w:r>
      <w:r>
        <w:rPr>
          <w:rFonts w:hint="eastAsia" w:ascii="仿宋" w:hAnsi="仿宋" w:eastAsia="仿宋" w:cs="仿宋_GB2312"/>
          <w:color w:val="000000"/>
          <w:sz w:val="32"/>
          <w:szCs w:val="32"/>
        </w:rPr>
        <w:t>年决算为</w:t>
      </w:r>
      <w:r>
        <w:rPr>
          <w:rFonts w:hint="eastAsia" w:ascii="仿宋" w:hAnsi="仿宋" w:eastAsia="仿宋"/>
          <w:spacing w:val="-20"/>
          <w:sz w:val="32"/>
          <w:szCs w:val="32"/>
        </w:rPr>
        <w:t>0</w:t>
      </w:r>
      <w:r>
        <w:rPr>
          <w:rFonts w:hint="eastAsia" w:ascii="仿宋" w:hAnsi="仿宋" w:eastAsia="仿宋" w:cs="仿宋_GB2312"/>
          <w:color w:val="000000"/>
          <w:sz w:val="32"/>
          <w:szCs w:val="32"/>
        </w:rPr>
        <w:t>万元。无外事接待支出。</w:t>
      </w:r>
    </w:p>
    <w:p>
      <w:pPr>
        <w:spacing w:line="560" w:lineRule="exact"/>
        <w:ind w:firstLine="640"/>
        <w:outlineLvl w:val="1"/>
        <w:rPr>
          <w:rFonts w:ascii="黑体" w:eastAsia="黑体"/>
          <w:color w:val="000000"/>
          <w:sz w:val="32"/>
          <w:szCs w:val="32"/>
        </w:rPr>
      </w:pPr>
      <w:bookmarkStart w:id="38" w:name="_Toc15396610"/>
      <w:bookmarkStart w:id="39" w:name="_Toc15377218"/>
    </w:p>
    <w:p>
      <w:pPr>
        <w:spacing w:line="56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38"/>
      <w:bookmarkEnd w:id="39"/>
    </w:p>
    <w:p>
      <w:pPr>
        <w:spacing w:line="560" w:lineRule="exact"/>
        <w:ind w:firstLine="640"/>
        <w:rPr>
          <w:rFonts w:ascii="仿宋" w:hAnsi="仿宋" w:eastAsia="仿宋"/>
          <w:color w:val="000000"/>
          <w:sz w:val="32"/>
          <w:szCs w:val="32"/>
        </w:rPr>
      </w:pPr>
      <w:r>
        <w:rPr>
          <w:rFonts w:hint="eastAsia" w:ascii="仿宋" w:hAnsi="仿宋" w:eastAsia="仿宋"/>
          <w:spacing w:val="-20"/>
          <w:sz w:val="32"/>
          <w:szCs w:val="32"/>
        </w:rPr>
        <w:t>2020</w:t>
      </w:r>
      <w:r>
        <w:rPr>
          <w:rFonts w:hint="eastAsia" w:ascii="仿宋" w:hAnsi="仿宋" w:eastAsia="仿宋"/>
          <w:color w:val="000000"/>
          <w:sz w:val="32"/>
          <w:szCs w:val="32"/>
        </w:rPr>
        <w:t>年政府性基金预算拨款支出</w:t>
      </w:r>
      <w:r>
        <w:rPr>
          <w:rFonts w:hint="eastAsia" w:ascii="仿宋" w:hAnsi="仿宋" w:eastAsia="仿宋"/>
          <w:spacing w:val="-20"/>
          <w:sz w:val="32"/>
          <w:szCs w:val="32"/>
        </w:rPr>
        <w:t>0</w:t>
      </w:r>
      <w:r>
        <w:rPr>
          <w:rFonts w:hint="eastAsia" w:ascii="仿宋" w:hAnsi="仿宋" w:eastAsia="仿宋"/>
          <w:color w:val="000000"/>
          <w:sz w:val="32"/>
          <w:szCs w:val="32"/>
        </w:rPr>
        <w:t>万元。</w:t>
      </w:r>
    </w:p>
    <w:p>
      <w:pPr>
        <w:spacing w:line="560" w:lineRule="exact"/>
        <w:ind w:firstLine="640"/>
        <w:rPr>
          <w:rFonts w:ascii="仿宋_GB2312" w:eastAsia="仿宋_GB2312"/>
          <w:color w:val="000000"/>
          <w:sz w:val="32"/>
          <w:szCs w:val="32"/>
        </w:rPr>
      </w:pPr>
    </w:p>
    <w:p>
      <w:pPr>
        <w:numPr>
          <w:ilvl w:val="0"/>
          <w:numId w:val="2"/>
        </w:numPr>
        <w:spacing w:line="560" w:lineRule="exact"/>
        <w:ind w:firstLine="640"/>
        <w:outlineLvl w:val="1"/>
        <w:rPr>
          <w:rStyle w:val="25"/>
          <w:rFonts w:ascii="黑体" w:hAnsi="黑体" w:eastAsia="黑体"/>
          <w:b w:val="0"/>
        </w:rPr>
      </w:pPr>
      <w:bookmarkStart w:id="40" w:name="_Toc15396611"/>
      <w:bookmarkStart w:id="41" w:name="_Toc15377219"/>
      <w:r>
        <w:rPr>
          <w:rStyle w:val="25"/>
          <w:rFonts w:hint="eastAsia" w:ascii="黑体" w:hAnsi="黑体" w:eastAsia="黑体"/>
          <w:b w:val="0"/>
        </w:rPr>
        <w:t>国有资本经营预算支出决算情况说明</w:t>
      </w:r>
      <w:bookmarkEnd w:id="40"/>
      <w:bookmarkEnd w:id="41"/>
    </w:p>
    <w:p>
      <w:pPr>
        <w:spacing w:line="560" w:lineRule="exact"/>
        <w:ind w:firstLine="640"/>
        <w:rPr>
          <w:rFonts w:ascii="仿宋" w:hAnsi="仿宋" w:eastAsia="仿宋"/>
          <w:color w:val="000000"/>
          <w:sz w:val="32"/>
          <w:szCs w:val="32"/>
        </w:rPr>
      </w:pPr>
      <w:r>
        <w:rPr>
          <w:rFonts w:hint="eastAsia" w:ascii="仿宋" w:hAnsi="仿宋" w:eastAsia="仿宋"/>
          <w:spacing w:val="-20"/>
          <w:sz w:val="32"/>
          <w:szCs w:val="32"/>
        </w:rPr>
        <w:t>2020</w:t>
      </w:r>
      <w:r>
        <w:rPr>
          <w:rFonts w:hint="eastAsia" w:ascii="仿宋" w:hAnsi="仿宋" w:eastAsia="仿宋"/>
          <w:color w:val="000000"/>
          <w:sz w:val="32"/>
          <w:szCs w:val="32"/>
        </w:rPr>
        <w:t>年国有资本经营预算拨款支出</w:t>
      </w:r>
      <w:r>
        <w:rPr>
          <w:rFonts w:hint="eastAsia" w:ascii="仿宋" w:hAnsi="仿宋" w:eastAsia="仿宋"/>
          <w:spacing w:val="-20"/>
          <w:sz w:val="32"/>
          <w:szCs w:val="32"/>
        </w:rPr>
        <w:t>0</w:t>
      </w:r>
      <w:r>
        <w:rPr>
          <w:rFonts w:hint="eastAsia" w:ascii="仿宋" w:hAnsi="仿宋" w:eastAsia="仿宋"/>
          <w:color w:val="000000"/>
          <w:sz w:val="32"/>
          <w:szCs w:val="32"/>
        </w:rPr>
        <w:t>万元。</w:t>
      </w:r>
    </w:p>
    <w:p>
      <w:pPr>
        <w:spacing w:line="560" w:lineRule="exact"/>
        <w:jc w:val="center"/>
        <w:rPr>
          <w:rFonts w:ascii="方正小标宋简体" w:hAnsi="方正小标宋简体" w:eastAsia="方正小标宋简体" w:cs="方正小标宋简体"/>
          <w:sz w:val="44"/>
          <w:szCs w:val="44"/>
        </w:rPr>
      </w:pPr>
    </w:p>
    <w:p>
      <w:pPr>
        <w:numPr>
          <w:ilvl w:val="0"/>
          <w:numId w:val="2"/>
        </w:numPr>
        <w:spacing w:line="560" w:lineRule="exact"/>
        <w:ind w:firstLine="640"/>
        <w:outlineLvl w:val="1"/>
        <w:rPr>
          <w:rStyle w:val="25"/>
          <w:rFonts w:ascii="黑体" w:hAnsi="黑体" w:eastAsia="黑体"/>
          <w:b w:val="0"/>
        </w:rPr>
      </w:pPr>
      <w:bookmarkStart w:id="42" w:name="_Toc15377221"/>
      <w:bookmarkStart w:id="43" w:name="_Toc15396612"/>
      <w:r>
        <w:rPr>
          <w:rStyle w:val="25"/>
          <w:rFonts w:hint="eastAsia" w:ascii="黑体" w:hAnsi="黑体" w:eastAsia="黑体"/>
          <w:b w:val="0"/>
        </w:rPr>
        <w:t>其他重要事项的情况说明</w:t>
      </w:r>
      <w:bookmarkEnd w:id="42"/>
      <w:bookmarkEnd w:id="43"/>
    </w:p>
    <w:p>
      <w:pPr>
        <w:spacing w:line="560" w:lineRule="exact"/>
        <w:ind w:firstLine="642" w:firstLineChars="200"/>
        <w:outlineLvl w:val="2"/>
        <w:rPr>
          <w:rFonts w:ascii="楷体_GB2312" w:hAnsi="楷体_GB2312" w:eastAsia="楷体_GB2312" w:cs="楷体_GB2312"/>
          <w:color w:val="000000"/>
          <w:sz w:val="32"/>
          <w:szCs w:val="32"/>
        </w:rPr>
      </w:pPr>
      <w:bookmarkStart w:id="44" w:name="_Toc15377222"/>
      <w:r>
        <w:rPr>
          <w:rFonts w:hint="eastAsia" w:ascii="楷体_GB2312" w:hAnsi="楷体_GB2312" w:eastAsia="楷体_GB2312" w:cs="楷体_GB2312"/>
          <w:b/>
          <w:color w:val="000000"/>
          <w:sz w:val="32"/>
          <w:szCs w:val="32"/>
        </w:rPr>
        <w:t>（一）机关运行经费支出情况</w:t>
      </w:r>
      <w:bookmarkEnd w:id="44"/>
    </w:p>
    <w:p>
      <w:pPr>
        <w:spacing w:line="56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中心为事业单位，无机关运行费支出。</w:t>
      </w:r>
    </w:p>
    <w:p>
      <w:pPr>
        <w:autoSpaceDE w:val="0"/>
        <w:autoSpaceDN w:val="0"/>
        <w:adjustRightInd w:val="0"/>
        <w:spacing w:line="560" w:lineRule="exact"/>
        <w:ind w:firstLine="642" w:firstLineChars="200"/>
        <w:jc w:val="left"/>
        <w:outlineLvl w:val="2"/>
        <w:rPr>
          <w:rFonts w:ascii="楷体_GB2312" w:hAnsi="楷体_GB2312" w:eastAsia="楷体_GB2312" w:cs="楷体_GB2312"/>
          <w:b/>
          <w:color w:val="000000"/>
          <w:sz w:val="32"/>
          <w:szCs w:val="32"/>
        </w:rPr>
      </w:pPr>
      <w:bookmarkStart w:id="45" w:name="_Toc15377223"/>
      <w:r>
        <w:rPr>
          <w:rFonts w:hint="eastAsia" w:ascii="楷体_GB2312" w:hAnsi="楷体_GB2312" w:eastAsia="楷体_GB2312" w:cs="楷体_GB2312"/>
          <w:b/>
          <w:color w:val="000000"/>
          <w:sz w:val="32"/>
          <w:szCs w:val="32"/>
        </w:rPr>
        <w:t>（二）政府采购支出情况</w:t>
      </w:r>
      <w:bookmarkEnd w:id="45"/>
    </w:p>
    <w:p>
      <w:pPr>
        <w:spacing w:line="560" w:lineRule="exact"/>
        <w:ind w:firstLine="560" w:firstLineChars="200"/>
        <w:rPr>
          <w:rFonts w:ascii="仿宋" w:hAnsi="仿宋" w:eastAsia="仿宋"/>
          <w:color w:val="000000"/>
          <w:sz w:val="32"/>
          <w:szCs w:val="32"/>
        </w:rPr>
      </w:pPr>
      <w:r>
        <w:rPr>
          <w:rFonts w:hint="eastAsia" w:ascii="仿宋" w:hAnsi="仿宋" w:eastAsia="仿宋"/>
          <w:spacing w:val="-20"/>
          <w:sz w:val="32"/>
          <w:szCs w:val="32"/>
        </w:rPr>
        <w:t>2020</w:t>
      </w:r>
      <w:r>
        <w:rPr>
          <w:rFonts w:hint="eastAsia" w:ascii="仿宋" w:hAnsi="仿宋" w:eastAsia="仿宋"/>
          <w:color w:val="000000"/>
          <w:sz w:val="32"/>
          <w:szCs w:val="32"/>
        </w:rPr>
        <w:t>年，省国资中心政府采购支出总额</w:t>
      </w:r>
      <w:r>
        <w:rPr>
          <w:rFonts w:hint="eastAsia" w:ascii="仿宋" w:hAnsi="仿宋" w:eastAsia="仿宋"/>
          <w:spacing w:val="-20"/>
          <w:sz w:val="32"/>
          <w:szCs w:val="32"/>
        </w:rPr>
        <w:t>271.69</w:t>
      </w:r>
      <w:r>
        <w:rPr>
          <w:rFonts w:hint="eastAsia" w:ascii="仿宋" w:hAnsi="仿宋" w:eastAsia="仿宋"/>
          <w:color w:val="000000"/>
          <w:sz w:val="32"/>
          <w:szCs w:val="32"/>
        </w:rPr>
        <w:t>万元，其中：政府采购货物支出</w:t>
      </w:r>
      <w:r>
        <w:rPr>
          <w:rFonts w:hint="eastAsia" w:ascii="仿宋" w:hAnsi="仿宋" w:eastAsia="仿宋"/>
          <w:spacing w:val="-20"/>
          <w:sz w:val="32"/>
          <w:szCs w:val="32"/>
        </w:rPr>
        <w:t>2.29</w:t>
      </w:r>
      <w:r>
        <w:rPr>
          <w:rFonts w:hint="eastAsia" w:ascii="仿宋" w:hAnsi="仿宋" w:eastAsia="仿宋"/>
          <w:color w:val="000000"/>
          <w:sz w:val="32"/>
          <w:szCs w:val="32"/>
        </w:rPr>
        <w:t>万元、政府采购工程支出</w:t>
      </w:r>
      <w:r>
        <w:rPr>
          <w:rFonts w:hint="eastAsia" w:ascii="仿宋" w:hAnsi="仿宋" w:eastAsia="仿宋"/>
          <w:spacing w:val="-20"/>
          <w:sz w:val="32"/>
          <w:szCs w:val="32"/>
        </w:rPr>
        <w:t>0</w:t>
      </w:r>
      <w:r>
        <w:rPr>
          <w:rFonts w:hint="eastAsia" w:ascii="仿宋" w:hAnsi="仿宋" w:eastAsia="仿宋"/>
          <w:color w:val="000000"/>
          <w:sz w:val="32"/>
          <w:szCs w:val="32"/>
        </w:rPr>
        <w:t>万元、政府采购服务支出</w:t>
      </w:r>
      <w:r>
        <w:rPr>
          <w:rFonts w:hint="eastAsia" w:ascii="仿宋" w:hAnsi="仿宋" w:eastAsia="仿宋"/>
          <w:spacing w:val="-20"/>
          <w:sz w:val="32"/>
          <w:szCs w:val="32"/>
        </w:rPr>
        <w:t>269.40</w:t>
      </w:r>
      <w:r>
        <w:rPr>
          <w:rFonts w:hint="eastAsia" w:ascii="仿宋" w:hAnsi="仿宋" w:eastAsia="仿宋"/>
          <w:color w:val="000000"/>
          <w:sz w:val="32"/>
          <w:szCs w:val="32"/>
        </w:rPr>
        <w:t>万元。主要用于单位办公设备购置、公务用车加油、维修、保险采购和省级公务用车管理平台运维服务项目采购等。授予中小企业合同金额</w:t>
      </w:r>
      <w:r>
        <w:rPr>
          <w:rFonts w:hint="eastAsia" w:ascii="仿宋" w:hAnsi="仿宋" w:eastAsia="仿宋"/>
          <w:spacing w:val="-20"/>
          <w:sz w:val="32"/>
          <w:szCs w:val="32"/>
        </w:rPr>
        <w:t>271.19</w:t>
      </w:r>
      <w:r>
        <w:rPr>
          <w:rFonts w:hint="eastAsia" w:ascii="仿宋" w:hAnsi="仿宋" w:eastAsia="仿宋"/>
          <w:color w:val="000000"/>
          <w:sz w:val="32"/>
          <w:szCs w:val="32"/>
        </w:rPr>
        <w:t>万元，占政府采购支出总额的</w:t>
      </w:r>
      <w:r>
        <w:rPr>
          <w:rFonts w:hint="eastAsia" w:ascii="仿宋" w:hAnsi="仿宋" w:eastAsia="仿宋"/>
          <w:spacing w:val="-20"/>
          <w:sz w:val="32"/>
          <w:szCs w:val="32"/>
        </w:rPr>
        <w:t>99.82%</w:t>
      </w:r>
      <w:r>
        <w:rPr>
          <w:rFonts w:hint="eastAsia" w:ascii="仿宋" w:hAnsi="仿宋" w:eastAsia="仿宋"/>
          <w:color w:val="000000"/>
          <w:sz w:val="32"/>
          <w:szCs w:val="32"/>
        </w:rPr>
        <w:t>，其中：授予小微企业合同金额</w:t>
      </w:r>
      <w:r>
        <w:rPr>
          <w:rFonts w:hint="eastAsia" w:ascii="仿宋" w:hAnsi="仿宋" w:eastAsia="仿宋"/>
          <w:spacing w:val="-20"/>
          <w:sz w:val="32"/>
          <w:szCs w:val="32"/>
        </w:rPr>
        <w:t>271.19</w:t>
      </w:r>
      <w:r>
        <w:rPr>
          <w:rFonts w:hint="eastAsia" w:ascii="仿宋" w:hAnsi="仿宋" w:eastAsia="仿宋"/>
          <w:color w:val="000000"/>
          <w:sz w:val="32"/>
          <w:szCs w:val="32"/>
        </w:rPr>
        <w:t>万元，占政府采购支出总额的</w:t>
      </w:r>
      <w:r>
        <w:rPr>
          <w:rFonts w:hint="eastAsia" w:ascii="仿宋" w:hAnsi="仿宋" w:eastAsia="仿宋"/>
          <w:spacing w:val="-20"/>
          <w:sz w:val="32"/>
          <w:szCs w:val="32"/>
        </w:rPr>
        <w:t>99.82%</w:t>
      </w:r>
      <w:r>
        <w:rPr>
          <w:rFonts w:hint="eastAsia" w:ascii="仿宋" w:hAnsi="仿宋" w:eastAsia="仿宋"/>
          <w:color w:val="000000"/>
          <w:sz w:val="32"/>
          <w:szCs w:val="32"/>
        </w:rPr>
        <w:t>。</w:t>
      </w:r>
    </w:p>
    <w:p>
      <w:pPr>
        <w:autoSpaceDE w:val="0"/>
        <w:autoSpaceDN w:val="0"/>
        <w:adjustRightInd w:val="0"/>
        <w:spacing w:line="560" w:lineRule="exact"/>
        <w:ind w:firstLine="642" w:firstLineChars="200"/>
        <w:jc w:val="left"/>
        <w:outlineLvl w:val="2"/>
        <w:rPr>
          <w:rFonts w:ascii="楷体_GB2312" w:hAnsi="楷体_GB2312" w:eastAsia="楷体_GB2312" w:cs="楷体_GB2312"/>
          <w:b/>
          <w:color w:val="000000"/>
          <w:sz w:val="32"/>
          <w:szCs w:val="32"/>
        </w:rPr>
      </w:pPr>
      <w:bookmarkStart w:id="46" w:name="_Toc15377224"/>
      <w:r>
        <w:rPr>
          <w:rFonts w:hint="eastAsia" w:ascii="楷体_GB2312" w:hAnsi="楷体_GB2312" w:eastAsia="楷体_GB2312" w:cs="楷体_GB2312"/>
          <w:b/>
          <w:color w:val="000000"/>
          <w:sz w:val="32"/>
          <w:szCs w:val="32"/>
        </w:rPr>
        <w:t>（三）国有资产占有使用情况</w:t>
      </w:r>
      <w:bookmarkEnd w:id="46"/>
    </w:p>
    <w:p>
      <w:pPr>
        <w:autoSpaceDE w:val="0"/>
        <w:autoSpaceDN w:val="0"/>
        <w:adjustRightInd w:val="0"/>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截至</w:t>
      </w:r>
      <w:r>
        <w:rPr>
          <w:rFonts w:hint="eastAsia" w:ascii="仿宋" w:hAnsi="仿宋" w:eastAsia="仿宋"/>
          <w:spacing w:val="-20"/>
          <w:sz w:val="32"/>
          <w:szCs w:val="32"/>
        </w:rPr>
        <w:t>2020</w:t>
      </w:r>
      <w:r>
        <w:rPr>
          <w:rFonts w:hint="eastAsia" w:ascii="仿宋" w:hAnsi="仿宋" w:eastAsia="仿宋"/>
          <w:color w:val="000000"/>
          <w:sz w:val="32"/>
          <w:szCs w:val="32"/>
        </w:rPr>
        <w:t>年</w:t>
      </w:r>
      <w:r>
        <w:rPr>
          <w:rFonts w:hint="eastAsia" w:ascii="仿宋" w:hAnsi="仿宋" w:eastAsia="仿宋"/>
          <w:spacing w:val="-20"/>
          <w:sz w:val="32"/>
          <w:szCs w:val="32"/>
        </w:rPr>
        <w:t>12</w:t>
      </w:r>
      <w:r>
        <w:rPr>
          <w:rFonts w:hint="eastAsia" w:ascii="仿宋" w:hAnsi="仿宋" w:eastAsia="仿宋"/>
          <w:color w:val="000000"/>
          <w:sz w:val="32"/>
          <w:szCs w:val="32"/>
        </w:rPr>
        <w:t>月</w:t>
      </w:r>
      <w:r>
        <w:rPr>
          <w:rFonts w:hint="eastAsia" w:ascii="仿宋" w:hAnsi="仿宋" w:eastAsia="仿宋"/>
          <w:spacing w:val="-20"/>
          <w:sz w:val="32"/>
          <w:szCs w:val="32"/>
        </w:rPr>
        <w:t>31</w:t>
      </w:r>
      <w:r>
        <w:rPr>
          <w:rFonts w:hint="eastAsia" w:ascii="仿宋" w:hAnsi="仿宋" w:eastAsia="仿宋"/>
          <w:color w:val="000000"/>
          <w:sz w:val="32"/>
          <w:szCs w:val="32"/>
        </w:rPr>
        <w:t>日，省国资中心共有车辆</w:t>
      </w:r>
      <w:r>
        <w:rPr>
          <w:rFonts w:hint="eastAsia" w:ascii="仿宋" w:hAnsi="仿宋" w:eastAsia="仿宋"/>
          <w:spacing w:val="-20"/>
          <w:sz w:val="32"/>
          <w:szCs w:val="32"/>
        </w:rPr>
        <w:t>3</w:t>
      </w:r>
      <w:r>
        <w:rPr>
          <w:rFonts w:hint="eastAsia" w:ascii="仿宋" w:hAnsi="仿宋" w:eastAsia="仿宋"/>
          <w:color w:val="000000"/>
          <w:sz w:val="32"/>
          <w:szCs w:val="32"/>
        </w:rPr>
        <w:t>辆，其中：主要领导干部用车</w:t>
      </w:r>
      <w:r>
        <w:rPr>
          <w:rFonts w:hint="eastAsia" w:ascii="仿宋" w:hAnsi="仿宋" w:eastAsia="仿宋"/>
          <w:spacing w:val="-20"/>
          <w:sz w:val="32"/>
          <w:szCs w:val="32"/>
        </w:rPr>
        <w:t>0</w:t>
      </w:r>
      <w:r>
        <w:rPr>
          <w:rFonts w:hint="eastAsia" w:ascii="仿宋" w:hAnsi="仿宋" w:eastAsia="仿宋"/>
          <w:color w:val="000000"/>
          <w:sz w:val="32"/>
          <w:szCs w:val="32"/>
        </w:rPr>
        <w:t>辆、机要通信用车</w:t>
      </w:r>
      <w:r>
        <w:rPr>
          <w:rFonts w:hint="eastAsia" w:ascii="仿宋" w:hAnsi="仿宋" w:eastAsia="仿宋"/>
          <w:spacing w:val="-20"/>
          <w:sz w:val="32"/>
          <w:szCs w:val="32"/>
        </w:rPr>
        <w:t>0</w:t>
      </w:r>
      <w:r>
        <w:rPr>
          <w:rFonts w:hint="eastAsia" w:ascii="仿宋" w:hAnsi="仿宋" w:eastAsia="仿宋"/>
          <w:color w:val="000000"/>
          <w:sz w:val="32"/>
          <w:szCs w:val="32"/>
        </w:rPr>
        <w:t>辆、应急保障用车</w:t>
      </w:r>
      <w:r>
        <w:rPr>
          <w:rFonts w:hint="eastAsia" w:ascii="仿宋" w:hAnsi="仿宋" w:eastAsia="仿宋"/>
          <w:spacing w:val="-20"/>
          <w:sz w:val="32"/>
          <w:szCs w:val="32"/>
        </w:rPr>
        <w:t>0</w:t>
      </w:r>
      <w:r>
        <w:rPr>
          <w:rFonts w:hint="eastAsia" w:ascii="仿宋" w:hAnsi="仿宋" w:eastAsia="仿宋"/>
          <w:color w:val="000000"/>
          <w:sz w:val="32"/>
          <w:szCs w:val="32"/>
        </w:rPr>
        <w:t>辆、其他用车</w:t>
      </w:r>
      <w:r>
        <w:rPr>
          <w:rFonts w:hint="eastAsia" w:ascii="仿宋" w:hAnsi="仿宋" w:eastAsia="仿宋"/>
          <w:spacing w:val="-20"/>
          <w:sz w:val="32"/>
          <w:szCs w:val="32"/>
        </w:rPr>
        <w:t>3</w:t>
      </w:r>
      <w:r>
        <w:rPr>
          <w:rFonts w:hint="eastAsia" w:ascii="仿宋" w:hAnsi="仿宋" w:eastAsia="仿宋"/>
          <w:color w:val="000000"/>
          <w:sz w:val="32"/>
          <w:szCs w:val="32"/>
        </w:rPr>
        <w:t>辆,</w:t>
      </w:r>
      <w:r>
        <w:rPr>
          <w:rFonts w:hint="eastAsia" w:ascii="仿宋" w:hAnsi="仿宋" w:eastAsia="仿宋"/>
          <w:color w:val="000000" w:themeColor="text1"/>
          <w:sz w:val="32"/>
          <w:szCs w:val="32"/>
        </w:rPr>
        <w:t>其他用车主要是用于国有资产管理工作。单价</w:t>
      </w:r>
      <w:r>
        <w:rPr>
          <w:rFonts w:hint="eastAsia" w:ascii="仿宋" w:hAnsi="仿宋" w:eastAsia="仿宋"/>
          <w:spacing w:val="-20"/>
          <w:sz w:val="32"/>
          <w:szCs w:val="32"/>
        </w:rPr>
        <w:t>50</w:t>
      </w:r>
      <w:r>
        <w:rPr>
          <w:rFonts w:hint="eastAsia" w:ascii="仿宋" w:hAnsi="仿宋" w:eastAsia="仿宋"/>
          <w:color w:val="000000" w:themeColor="text1"/>
          <w:sz w:val="32"/>
          <w:szCs w:val="32"/>
        </w:rPr>
        <w:t>万元以上通用设备</w:t>
      </w:r>
      <w:r>
        <w:rPr>
          <w:rFonts w:hint="eastAsia" w:ascii="仿宋" w:hAnsi="仿宋" w:eastAsia="仿宋"/>
          <w:spacing w:val="-20"/>
          <w:sz w:val="32"/>
          <w:szCs w:val="32"/>
        </w:rPr>
        <w:t>0</w:t>
      </w:r>
      <w:r>
        <w:rPr>
          <w:rFonts w:hint="eastAsia" w:ascii="仿宋" w:hAnsi="仿宋" w:eastAsia="仿宋"/>
          <w:color w:val="000000" w:themeColor="text1"/>
          <w:sz w:val="32"/>
          <w:szCs w:val="32"/>
        </w:rPr>
        <w:t>台（套），单价</w:t>
      </w:r>
      <w:r>
        <w:rPr>
          <w:rFonts w:hint="eastAsia" w:ascii="仿宋" w:hAnsi="仿宋" w:eastAsia="仿宋"/>
          <w:spacing w:val="-20"/>
          <w:sz w:val="32"/>
          <w:szCs w:val="32"/>
        </w:rPr>
        <w:t>100</w:t>
      </w:r>
      <w:r>
        <w:rPr>
          <w:rFonts w:hint="eastAsia" w:ascii="仿宋" w:hAnsi="仿宋" w:eastAsia="仿宋"/>
          <w:color w:val="000000"/>
          <w:sz w:val="32"/>
          <w:szCs w:val="32"/>
        </w:rPr>
        <w:t>万元以上专用设备</w:t>
      </w:r>
      <w:r>
        <w:rPr>
          <w:rFonts w:hint="eastAsia" w:ascii="仿宋" w:hAnsi="仿宋" w:eastAsia="仿宋"/>
          <w:spacing w:val="-20"/>
          <w:sz w:val="32"/>
          <w:szCs w:val="32"/>
        </w:rPr>
        <w:t>0</w:t>
      </w:r>
      <w:r>
        <w:rPr>
          <w:rFonts w:hint="eastAsia" w:ascii="仿宋" w:hAnsi="仿宋" w:eastAsia="仿宋"/>
          <w:color w:val="000000"/>
          <w:sz w:val="32"/>
          <w:szCs w:val="32"/>
        </w:rPr>
        <w:t>台（套）。</w:t>
      </w:r>
    </w:p>
    <w:p>
      <w:pPr>
        <w:autoSpaceDE w:val="0"/>
        <w:autoSpaceDN w:val="0"/>
        <w:adjustRightInd w:val="0"/>
        <w:spacing w:line="560" w:lineRule="exact"/>
        <w:ind w:firstLine="642" w:firstLineChars="200"/>
        <w:jc w:val="left"/>
        <w:outlineLvl w:val="2"/>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（四）预算绩效管理情况</w:t>
      </w:r>
    </w:p>
    <w:p>
      <w:pPr>
        <w:spacing w:line="560" w:lineRule="exact"/>
        <w:ind w:firstLine="640" w:firstLineChars="200"/>
        <w:rPr>
          <w:rFonts w:ascii="仿宋" w:hAnsi="仿宋" w:eastAsia="仿宋"/>
          <w:szCs w:val="32"/>
        </w:rPr>
      </w:pPr>
      <w:r>
        <w:rPr>
          <w:rFonts w:hint="eastAsia" w:ascii="仿宋" w:hAnsi="仿宋" w:eastAsia="仿宋" w:cs="仿宋_GB2312"/>
          <w:sz w:val="32"/>
          <w:szCs w:val="32"/>
        </w:rPr>
        <w:t>根据预算绩效管理要求，本单位在</w:t>
      </w:r>
      <w:r>
        <w:rPr>
          <w:rFonts w:hint="eastAsia" w:ascii="仿宋" w:hAnsi="仿宋" w:eastAsia="仿宋"/>
          <w:spacing w:val="-20"/>
          <w:sz w:val="32"/>
          <w:szCs w:val="32"/>
        </w:rPr>
        <w:t>2020</w:t>
      </w:r>
      <w:r>
        <w:rPr>
          <w:rFonts w:hint="eastAsia" w:ascii="仿宋" w:hAnsi="仿宋" w:eastAsia="仿宋" w:cs="仿宋_GB2312"/>
          <w:sz w:val="32"/>
          <w:szCs w:val="32"/>
        </w:rPr>
        <w:t>年度预算编制阶段，组织对“资产处置服务平台工作经费”项目开展了预算事前绩效评估，对</w:t>
      </w:r>
      <w:r>
        <w:rPr>
          <w:rFonts w:hint="eastAsia" w:ascii="仿宋" w:hAnsi="仿宋" w:eastAsia="仿宋"/>
          <w:spacing w:val="-20"/>
          <w:sz w:val="32"/>
          <w:szCs w:val="32"/>
        </w:rPr>
        <w:t>5</w:t>
      </w:r>
      <w:r>
        <w:rPr>
          <w:rFonts w:hint="eastAsia" w:ascii="仿宋" w:hAnsi="仿宋" w:eastAsia="仿宋" w:cs="仿宋_GB2312"/>
          <w:sz w:val="32"/>
          <w:szCs w:val="32"/>
        </w:rPr>
        <w:t>个项目编制了绩效目标，预算执行过程中，选取</w:t>
      </w:r>
      <w:r>
        <w:rPr>
          <w:rFonts w:hint="eastAsia" w:ascii="仿宋" w:hAnsi="仿宋" w:eastAsia="仿宋"/>
          <w:spacing w:val="-20"/>
          <w:sz w:val="32"/>
          <w:szCs w:val="32"/>
        </w:rPr>
        <w:t>1</w:t>
      </w:r>
      <w:r>
        <w:rPr>
          <w:rFonts w:hint="eastAsia" w:ascii="仿宋" w:hAnsi="仿宋" w:eastAsia="仿宋" w:cs="仿宋_GB2312"/>
          <w:sz w:val="32"/>
          <w:szCs w:val="32"/>
        </w:rPr>
        <w:t>个项目开展绩效监控，年终执行完毕后，对</w:t>
      </w:r>
      <w:r>
        <w:rPr>
          <w:rFonts w:hint="eastAsia" w:ascii="仿宋" w:hAnsi="仿宋" w:eastAsia="仿宋"/>
          <w:spacing w:val="-20"/>
          <w:sz w:val="32"/>
          <w:szCs w:val="32"/>
        </w:rPr>
        <w:t>1</w:t>
      </w:r>
      <w:r>
        <w:rPr>
          <w:rFonts w:hint="eastAsia" w:ascii="仿宋" w:hAnsi="仿宋" w:eastAsia="仿宋" w:cs="仿宋_GB2312"/>
          <w:sz w:val="32"/>
          <w:szCs w:val="32"/>
        </w:rPr>
        <w:t>个项目开展了绩效目标完成情况自评。</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本单位按要求对</w:t>
      </w:r>
      <w:r>
        <w:rPr>
          <w:rFonts w:hint="eastAsia" w:ascii="仿宋" w:hAnsi="仿宋" w:eastAsia="仿宋"/>
          <w:spacing w:val="-20"/>
          <w:sz w:val="32"/>
          <w:szCs w:val="32"/>
        </w:rPr>
        <w:t>2020</w:t>
      </w:r>
      <w:r>
        <w:rPr>
          <w:rFonts w:hint="eastAsia" w:ascii="仿宋" w:hAnsi="仿宋" w:eastAsia="仿宋" w:cs="仿宋_GB2312"/>
          <w:sz w:val="32"/>
          <w:szCs w:val="32"/>
        </w:rPr>
        <w:t>年整体支出开展绩效自评，从评价情况来看，本次评价遵循了“科学规范、公正公开”的原则，运科学、合理的绩效评价指标和评价方法，对本单位</w:t>
      </w:r>
      <w:r>
        <w:rPr>
          <w:rFonts w:hint="eastAsia" w:ascii="仿宋" w:hAnsi="仿宋" w:eastAsia="仿宋"/>
          <w:spacing w:val="-20"/>
          <w:sz w:val="32"/>
          <w:szCs w:val="32"/>
        </w:rPr>
        <w:t xml:space="preserve">2020 </w:t>
      </w:r>
      <w:r>
        <w:rPr>
          <w:rFonts w:hint="eastAsia" w:ascii="仿宋" w:hAnsi="仿宋" w:eastAsia="仿宋" w:cs="仿宋_GB2312"/>
          <w:sz w:val="32"/>
          <w:szCs w:val="32"/>
        </w:rPr>
        <w:t>年度部门整体支出的绩效情况进行了客观、公正的评价。本单位所设立的整体绩效目标依据充分，符合国家法律法规、国民经济和社会发展总体规划，符合单位中长期规划，单位整体绩效目标与单位履职、年度工作任务相符。本单位还自行组织了</w:t>
      </w:r>
      <w:r>
        <w:rPr>
          <w:rFonts w:hint="eastAsia" w:ascii="仿宋" w:hAnsi="仿宋" w:eastAsia="仿宋"/>
          <w:spacing w:val="-20"/>
          <w:sz w:val="32"/>
          <w:szCs w:val="32"/>
        </w:rPr>
        <w:t>1</w:t>
      </w:r>
      <w:r>
        <w:rPr>
          <w:rFonts w:hint="eastAsia" w:ascii="仿宋" w:hAnsi="仿宋" w:eastAsia="仿宋" w:cs="仿宋_GB2312"/>
          <w:sz w:val="32"/>
          <w:szCs w:val="32"/>
        </w:rPr>
        <w:t>个项目支出绩效评价，从评价情况来看，我单位严格按照财政部门要求，合理规范使用项目资金，进一步完善了各项制度，项目支出管理更加规范，较好地完成了年初制定的目标任务，财政资金使用效益得到进一步提高。</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1.项目绩效目标完成情况。</w:t>
      </w:r>
      <w:r>
        <w:rPr>
          <w:rFonts w:hint="eastAsia" w:ascii="仿宋" w:hAnsi="仿宋" w:eastAsia="仿宋" w:cs="仿宋_GB2312"/>
          <w:sz w:val="32"/>
          <w:szCs w:val="32"/>
        </w:rPr>
        <w:br w:type="textWrapping"/>
      </w:r>
      <w:r>
        <w:rPr>
          <w:rFonts w:hint="eastAsia" w:ascii="仿宋" w:hAnsi="仿宋" w:eastAsia="仿宋" w:cs="仿宋_GB2312"/>
          <w:sz w:val="32"/>
          <w:szCs w:val="32"/>
        </w:rPr>
        <w:t xml:space="preserve">    本单位在</w:t>
      </w:r>
      <w:r>
        <w:rPr>
          <w:rFonts w:hint="eastAsia" w:ascii="仿宋" w:hAnsi="仿宋" w:eastAsia="仿宋"/>
          <w:spacing w:val="-20"/>
          <w:sz w:val="32"/>
          <w:szCs w:val="32"/>
        </w:rPr>
        <w:t>2020</w:t>
      </w:r>
      <w:r>
        <w:rPr>
          <w:rFonts w:hint="eastAsia" w:ascii="仿宋" w:hAnsi="仿宋" w:eastAsia="仿宋" w:cs="仿宋_GB2312"/>
          <w:sz w:val="32"/>
          <w:szCs w:val="32"/>
        </w:rPr>
        <w:t>年度部门决算中反映“资产处置服务平台工作经费</w:t>
      </w:r>
      <w:r>
        <w:rPr>
          <w:rFonts w:ascii="仿宋" w:hAnsi="仿宋" w:eastAsia="仿宋" w:cs="仿宋_GB2312"/>
          <w:sz w:val="32"/>
          <w:szCs w:val="32"/>
        </w:rPr>
        <w:t>”</w:t>
      </w:r>
      <w:r>
        <w:rPr>
          <w:rFonts w:hint="eastAsia" w:ascii="仿宋" w:hAnsi="仿宋" w:eastAsia="仿宋" w:cs="仿宋_GB2312"/>
          <w:sz w:val="32"/>
          <w:szCs w:val="32"/>
        </w:rPr>
        <w:t>等</w:t>
      </w:r>
      <w:r>
        <w:rPr>
          <w:rFonts w:hint="eastAsia" w:ascii="仿宋" w:hAnsi="仿宋" w:eastAsia="仿宋"/>
          <w:spacing w:val="-20"/>
          <w:sz w:val="32"/>
          <w:szCs w:val="32"/>
        </w:rPr>
        <w:t>1</w:t>
      </w:r>
      <w:r>
        <w:rPr>
          <w:rFonts w:hint="eastAsia" w:ascii="仿宋" w:hAnsi="仿宋" w:eastAsia="仿宋" w:cs="仿宋_GB2312"/>
          <w:sz w:val="32"/>
          <w:szCs w:val="32"/>
        </w:rPr>
        <w:t>个项目绩效目标实际完成情况。</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（1）“资产处置服务平台工作经费</w:t>
      </w:r>
      <w:r>
        <w:rPr>
          <w:rFonts w:ascii="仿宋" w:hAnsi="仿宋" w:eastAsia="仿宋" w:cs="仿宋_GB2312"/>
          <w:sz w:val="32"/>
          <w:szCs w:val="32"/>
        </w:rPr>
        <w:t>”</w:t>
      </w:r>
      <w:r>
        <w:rPr>
          <w:rFonts w:hint="eastAsia" w:ascii="仿宋" w:hAnsi="仿宋" w:eastAsia="仿宋" w:cs="仿宋_GB2312"/>
          <w:sz w:val="32"/>
          <w:szCs w:val="32"/>
        </w:rPr>
        <w:t>项目绩效目标完成情况综述。项目全年预算数</w:t>
      </w:r>
      <w:r>
        <w:rPr>
          <w:rFonts w:hint="eastAsia" w:ascii="仿宋" w:hAnsi="仿宋" w:eastAsia="仿宋"/>
          <w:spacing w:val="-20"/>
          <w:sz w:val="32"/>
          <w:szCs w:val="32"/>
        </w:rPr>
        <w:t>145</w:t>
      </w:r>
      <w:r>
        <w:rPr>
          <w:rFonts w:hint="eastAsia" w:ascii="仿宋" w:hAnsi="仿宋" w:eastAsia="仿宋" w:cs="仿宋_GB2312"/>
          <w:sz w:val="32"/>
          <w:szCs w:val="32"/>
        </w:rPr>
        <w:t>万元，执行数为</w:t>
      </w:r>
      <w:r>
        <w:rPr>
          <w:rFonts w:hint="eastAsia" w:ascii="仿宋" w:hAnsi="仿宋" w:eastAsia="仿宋"/>
          <w:spacing w:val="-20"/>
          <w:sz w:val="32"/>
          <w:szCs w:val="32"/>
        </w:rPr>
        <w:t>144</w:t>
      </w:r>
      <w:r>
        <w:rPr>
          <w:rFonts w:hint="eastAsia" w:ascii="仿宋" w:hAnsi="仿宋" w:eastAsia="仿宋" w:cs="仿宋_GB2312"/>
          <w:sz w:val="32"/>
          <w:szCs w:val="32"/>
        </w:rPr>
        <w:t>万元，完成预算的</w:t>
      </w:r>
      <w:r>
        <w:rPr>
          <w:rFonts w:hint="eastAsia" w:ascii="仿宋" w:hAnsi="仿宋" w:eastAsia="仿宋"/>
          <w:spacing w:val="-20"/>
          <w:sz w:val="32"/>
          <w:szCs w:val="32"/>
        </w:rPr>
        <w:t>99.31%</w:t>
      </w:r>
      <w:r>
        <w:rPr>
          <w:rFonts w:hint="eastAsia" w:ascii="仿宋" w:hAnsi="仿宋" w:eastAsia="仿宋" w:cs="仿宋_GB2312"/>
          <w:sz w:val="32"/>
          <w:szCs w:val="32"/>
        </w:rPr>
        <w:t>。通过项目实施，进一步提升了财政资金使用效益，确保了国有资产安全完整、保值升值。发现的主要问题：部分指标细化量化不够，缺乏可考核性。下一步改进措施：一是加强预算编制工作，做到项目立项依据充分、绩效目标科学合理、预算测算依据充分过程完整；二是对项目进度、预算执行、投入产出、各项效益的阶段性完成情况进行动态跟踪监控，确保目标运行方向正确、进展顺利。</w:t>
      </w:r>
    </w:p>
    <w:p>
      <w:pPr>
        <w:spacing w:line="600" w:lineRule="exact"/>
        <w:ind w:firstLine="640" w:firstLineChars="200"/>
        <w:rPr>
          <w:rFonts w:ascii="仿宋" w:hAnsi="仿宋" w:eastAsia="仿宋" w:cs="仿宋_GB2312"/>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资产处置服务平台工作经费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四川省省级机关国有资产管理中心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144</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144</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依据《四川省省级机关国有资产处置服务平台实施细则》，为进一步规范省级行政事业单位国有资产处置工作，提高资产管理效率，确保资产处置过程安全环保、规范高效。省机关事务管理局批准成立省级机关国有资产处置服务平台，对省级行政事业单位国有资产进行集中统一处置。</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依据《四川省省级机关国有资产处置服务平台实施细则》，为进一步规范省级行政事业单位国有资产处置工作，提高资产管理效率，确保资产处置过程安全环保、规范高效。省机关事务管理局批准成立省级机关国有资产处置服务平台，对省级行政事业单位国有资产进行集中统一处置。</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完成劳务外包服务政府采购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1次</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劳务外包合同履约率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2020年12月31日前完成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2020年12月31日前完成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项目按期完成率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劳务外包服务费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劳务外包服务费及相关税费95万元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劳务外包服务费及相关税费95万元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办公及仓储费用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办公场所及仓储相关费用50万元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办公场所及仓储相关费用50万元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规范省级机关国有资产处置流程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长期。初步先规范5类资产的处置流程</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规范资产处置流程5类以上</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可持续性</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对规范省级行政事业单位国有资产集中统一处置工作影响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长期</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国有资产处置安全环保率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废弃电子产品资产处置安全环保率达90%以上。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废弃电子产品资产处置安全环保率达90%以上。</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处置单位满意度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达到90%以上</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bl>
    <w:p>
      <w:pPr>
        <w:spacing w:line="600" w:lineRule="exact"/>
        <w:ind w:left="630"/>
        <w:rPr>
          <w:rFonts w:ascii="仿宋_GB2312" w:hAnsi="仿宋_GB2312" w:eastAsia="仿宋_GB2312" w:cs="仿宋_GB2312"/>
          <w:sz w:val="32"/>
          <w:szCs w:val="32"/>
        </w:rPr>
      </w:pPr>
    </w:p>
    <w:p>
      <w:pPr>
        <w:spacing w:line="600" w:lineRule="exact"/>
        <w:ind w:left="630"/>
        <w:rPr>
          <w:rFonts w:ascii="仿宋_GB2312" w:hAnsi="仿宋_GB2312" w:eastAsia="仿宋_GB2312" w:cs="仿宋_GB2312"/>
          <w:sz w:val="32"/>
          <w:szCs w:val="32"/>
        </w:rPr>
      </w:pPr>
    </w:p>
    <w:p>
      <w:pPr>
        <w:spacing w:line="560" w:lineRule="exact"/>
        <w:ind w:left="630"/>
        <w:rPr>
          <w:rFonts w:ascii="仿宋" w:hAnsi="仿宋" w:eastAsia="仿宋" w:cs="仿宋_GB2312"/>
          <w:sz w:val="32"/>
          <w:szCs w:val="32"/>
        </w:rPr>
      </w:pPr>
      <w:r>
        <w:rPr>
          <w:rFonts w:hint="eastAsia" w:ascii="仿宋" w:hAnsi="仿宋" w:eastAsia="仿宋" w:cs="仿宋_GB2312"/>
          <w:sz w:val="32"/>
          <w:szCs w:val="32"/>
        </w:rPr>
        <w:t>2.单位绩效评价结果。</w:t>
      </w:r>
    </w:p>
    <w:p>
      <w:pPr>
        <w:spacing w:line="560" w:lineRule="exact"/>
        <w:ind w:firstLine="640" w:firstLineChars="200"/>
        <w:rPr>
          <w:rFonts w:ascii="仿宋" w:hAnsi="仿宋" w:eastAsia="仿宋"/>
          <w:szCs w:val="32"/>
        </w:rPr>
      </w:pPr>
      <w:r>
        <w:rPr>
          <w:rFonts w:hint="eastAsia" w:ascii="仿宋" w:hAnsi="仿宋" w:eastAsia="仿宋" w:cs="仿宋_GB2312"/>
          <w:sz w:val="32"/>
          <w:szCs w:val="32"/>
        </w:rPr>
        <w:t>本单位自行组织对“资产处置服务平台工作经费”项目开展了绩效评价，《</w:t>
      </w:r>
      <w:r>
        <w:rPr>
          <w:rFonts w:hint="eastAsia" w:ascii="仿宋" w:hAnsi="仿宋" w:eastAsia="仿宋"/>
          <w:spacing w:val="-20"/>
          <w:sz w:val="32"/>
          <w:szCs w:val="32"/>
        </w:rPr>
        <w:t>2020</w:t>
      </w:r>
      <w:r>
        <w:rPr>
          <w:rFonts w:hint="eastAsia" w:ascii="仿宋" w:hAnsi="仿宋" w:eastAsia="仿宋" w:cs="仿宋_GB2312"/>
          <w:sz w:val="32"/>
          <w:szCs w:val="32"/>
        </w:rPr>
        <w:t>年资产处置服务平台工作经费项目支出绩效自评报告》见附件（第四部分）。</w:t>
      </w:r>
    </w:p>
    <w:p>
      <w:pPr>
        <w:spacing w:line="580" w:lineRule="exact"/>
        <w:ind w:firstLine="640" w:firstLineChars="200"/>
        <w:rPr>
          <w:rFonts w:ascii="仿宋_GB2312" w:hAnsi="仿宋_GB2312" w:eastAsia="仿宋_GB2312" w:cs="仿宋_GB2312"/>
          <w:sz w:val="32"/>
          <w:szCs w:val="32"/>
        </w:rPr>
      </w:pPr>
    </w:p>
    <w:p>
      <w:pPr>
        <w:widowControl/>
        <w:spacing w:line="600" w:lineRule="exact"/>
        <w:jc w:val="center"/>
        <w:rPr>
          <w:rStyle w:val="24"/>
          <w:rFonts w:ascii="方正小标宋简体" w:hAnsi="方正小标宋简体" w:eastAsia="方正小标宋简体" w:cs="方正小标宋简体"/>
          <w:b w:val="0"/>
          <w:bCs w:val="0"/>
        </w:rPr>
      </w:pPr>
      <w:r>
        <w:rPr>
          <w:rFonts w:ascii="仿宋_GB2312" w:eastAsia="仿宋_GB2312"/>
          <w:b/>
          <w:color w:val="000000"/>
          <w:sz w:val="32"/>
          <w:szCs w:val="32"/>
        </w:rPr>
        <w:br w:type="page"/>
      </w:r>
      <w:bookmarkStart w:id="47" w:name="_Toc15377225"/>
      <w:bookmarkStart w:id="48" w:name="_Toc15396613"/>
      <w:r>
        <w:rPr>
          <w:rStyle w:val="24"/>
          <w:rFonts w:hint="eastAsia" w:ascii="方正小标宋简体" w:hAnsi="方正小标宋简体" w:eastAsia="方正小标宋简体" w:cs="方正小标宋简体"/>
          <w:b w:val="0"/>
          <w:bCs w:val="0"/>
        </w:rPr>
        <w:t xml:space="preserve">第三部分  </w:t>
      </w:r>
      <w:r>
        <w:rPr>
          <w:rFonts w:hint="eastAsia" w:ascii="方正小标宋简体" w:hAnsi="方正小标宋简体" w:eastAsia="方正小标宋简体" w:cs="方正小标宋简体"/>
          <w:color w:val="000000"/>
          <w:sz w:val="44"/>
          <w:szCs w:val="44"/>
        </w:rPr>
        <w:t>名</w:t>
      </w:r>
      <w:r>
        <w:rPr>
          <w:rStyle w:val="24"/>
          <w:rFonts w:hint="eastAsia" w:ascii="方正小标宋简体" w:hAnsi="方正小标宋简体" w:eastAsia="方正小标宋简体" w:cs="方正小标宋简体"/>
          <w:b w:val="0"/>
          <w:bCs w:val="0"/>
        </w:rPr>
        <w:t>词解释</w:t>
      </w:r>
      <w:bookmarkEnd w:id="47"/>
      <w:bookmarkEnd w:id="48"/>
    </w:p>
    <w:p>
      <w:pPr>
        <w:spacing w:line="600" w:lineRule="exact"/>
        <w:jc w:val="left"/>
        <w:rPr>
          <w:rFonts w:ascii="宋体"/>
          <w:b/>
          <w:color w:val="000000"/>
          <w:sz w:val="44"/>
          <w:szCs w:val="44"/>
        </w:rPr>
      </w:pPr>
    </w:p>
    <w:p>
      <w:pPr>
        <w:pStyle w:val="22"/>
        <w:spacing w:line="560" w:lineRule="exact"/>
        <w:ind w:firstLine="640" w:firstLineChars="200"/>
        <w:rPr>
          <w:rFonts w:hAnsi="仿宋"/>
          <w:sz w:val="32"/>
          <w:szCs w:val="32"/>
        </w:rPr>
      </w:pPr>
      <w:r>
        <w:rPr>
          <w:rFonts w:hAnsi="仿宋"/>
          <w:sz w:val="32"/>
          <w:szCs w:val="32"/>
        </w:rPr>
        <w:t>1.</w:t>
      </w:r>
      <w:r>
        <w:rPr>
          <w:rFonts w:hint="eastAsia" w:hAnsi="仿宋"/>
          <w:sz w:val="32"/>
          <w:szCs w:val="32"/>
        </w:rPr>
        <w:t>财政拨款收入：指单位从同级财政部门取得的财政预算资金。</w:t>
      </w:r>
    </w:p>
    <w:p>
      <w:pPr>
        <w:pStyle w:val="22"/>
        <w:spacing w:line="560" w:lineRule="exact"/>
        <w:ind w:firstLine="640" w:firstLineChars="200"/>
        <w:rPr>
          <w:rFonts w:hAnsi="仿宋"/>
          <w:sz w:val="32"/>
          <w:szCs w:val="32"/>
        </w:rPr>
      </w:pPr>
      <w:r>
        <w:rPr>
          <w:rFonts w:hAnsi="仿宋"/>
          <w:sz w:val="32"/>
          <w:szCs w:val="32"/>
        </w:rPr>
        <w:t>2.</w:t>
      </w:r>
      <w:r>
        <w:rPr>
          <w:rFonts w:hint="eastAsia" w:hAnsi="仿宋"/>
          <w:sz w:val="32"/>
          <w:szCs w:val="32"/>
        </w:rPr>
        <w:t>事业收入：指事业单位开展专业业务活动及辅助活动取得的收入。如…（二级预算单位事业收入情况）等。</w:t>
      </w:r>
    </w:p>
    <w:p>
      <w:pPr>
        <w:pStyle w:val="22"/>
        <w:spacing w:line="560" w:lineRule="exact"/>
        <w:ind w:firstLine="640" w:firstLineChars="200"/>
        <w:rPr>
          <w:rFonts w:hAnsi="仿宋"/>
          <w:sz w:val="32"/>
          <w:szCs w:val="32"/>
        </w:rPr>
      </w:pPr>
      <w:r>
        <w:rPr>
          <w:rFonts w:hAnsi="仿宋"/>
          <w:sz w:val="32"/>
          <w:szCs w:val="32"/>
        </w:rPr>
        <w:t>3.</w:t>
      </w:r>
      <w:r>
        <w:rPr>
          <w:rFonts w:hint="eastAsia" w:hAnsi="仿宋"/>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hAnsi="仿宋"/>
          <w:sz w:val="32"/>
          <w:szCs w:val="32"/>
        </w:rPr>
      </w:pPr>
      <w:r>
        <w:rPr>
          <w:rFonts w:hAnsi="仿宋"/>
          <w:sz w:val="32"/>
          <w:szCs w:val="32"/>
        </w:rPr>
        <w:t>4.</w:t>
      </w:r>
      <w:r>
        <w:rPr>
          <w:rFonts w:hint="eastAsia" w:hAnsi="仿宋"/>
          <w:sz w:val="32"/>
          <w:szCs w:val="32"/>
        </w:rPr>
        <w:t>其他收入：指单位取得的除上述收入以外的各项收入。主要是…（收入类型）等。</w:t>
      </w:r>
    </w:p>
    <w:p>
      <w:pPr>
        <w:pStyle w:val="22"/>
        <w:spacing w:line="560" w:lineRule="exact"/>
        <w:ind w:firstLine="640" w:firstLineChars="200"/>
        <w:rPr>
          <w:rFonts w:hAnsi="仿宋"/>
          <w:sz w:val="32"/>
          <w:szCs w:val="32"/>
        </w:rPr>
      </w:pPr>
      <w:r>
        <w:rPr>
          <w:rFonts w:hAnsi="仿宋"/>
          <w:sz w:val="32"/>
          <w:szCs w:val="32"/>
        </w:rPr>
        <w:t>5.</w:t>
      </w:r>
      <w:r>
        <w:rPr>
          <w:rFonts w:hint="eastAsia" w:hAnsi="仿宋"/>
          <w:sz w:val="32"/>
          <w:szCs w:val="32"/>
        </w:rPr>
        <w:t>使用非财政拨款结余：指事业单位使用以前年度积累的非财政拨款结余弥补当年收支差额的金额。</w:t>
      </w:r>
    </w:p>
    <w:p>
      <w:pPr>
        <w:pStyle w:val="22"/>
        <w:spacing w:line="560" w:lineRule="exact"/>
        <w:ind w:firstLine="640" w:firstLineChars="200"/>
        <w:rPr>
          <w:rFonts w:hAnsi="仿宋"/>
          <w:sz w:val="32"/>
          <w:szCs w:val="32"/>
        </w:rPr>
      </w:pPr>
      <w:r>
        <w:rPr>
          <w:rFonts w:hAnsi="仿宋"/>
          <w:sz w:val="32"/>
          <w:szCs w:val="32"/>
        </w:rPr>
        <w:t>6.</w:t>
      </w:r>
      <w:r>
        <w:rPr>
          <w:rFonts w:hint="eastAsia" w:hAnsi="仿宋"/>
          <w:sz w:val="32"/>
          <w:szCs w:val="32"/>
        </w:rPr>
        <w:t>年初结转和结余：指以前年度尚未完成、结转到本年按有关规定继续使用的资金。</w:t>
      </w:r>
    </w:p>
    <w:p>
      <w:pPr>
        <w:pStyle w:val="22"/>
        <w:spacing w:line="560" w:lineRule="exact"/>
        <w:ind w:firstLine="640" w:firstLineChars="200"/>
        <w:rPr>
          <w:rFonts w:hAnsi="仿宋"/>
          <w:sz w:val="32"/>
          <w:szCs w:val="32"/>
        </w:rPr>
      </w:pPr>
      <w:r>
        <w:rPr>
          <w:rFonts w:hAnsi="仿宋"/>
          <w:sz w:val="32"/>
          <w:szCs w:val="32"/>
        </w:rPr>
        <w:t>7.</w:t>
      </w:r>
      <w:r>
        <w:rPr>
          <w:rFonts w:hint="eastAsia" w:hAnsi="仿宋"/>
          <w:sz w:val="32"/>
          <w:szCs w:val="32"/>
        </w:rPr>
        <w:t>结余分配：指事业单位按照会计制度规定缴纳的所得税、提取的专用结余以及转入非财政拨款结余的金额等。</w:t>
      </w:r>
    </w:p>
    <w:p>
      <w:pPr>
        <w:pStyle w:val="22"/>
        <w:spacing w:line="560" w:lineRule="exact"/>
        <w:ind w:firstLine="640" w:firstLineChars="200"/>
        <w:rPr>
          <w:rFonts w:hAnsi="仿宋"/>
          <w:sz w:val="32"/>
          <w:szCs w:val="32"/>
        </w:rPr>
      </w:pPr>
      <w:r>
        <w:rPr>
          <w:rFonts w:hAnsi="仿宋"/>
          <w:sz w:val="32"/>
          <w:szCs w:val="32"/>
        </w:rPr>
        <w:t>8</w:t>
      </w:r>
      <w:r>
        <w:rPr>
          <w:rFonts w:hint="eastAsia" w:hAnsi="仿宋"/>
          <w:sz w:val="32"/>
          <w:szCs w:val="32"/>
        </w:rPr>
        <w:t>、年末结转和结余：指单位按有关规定结转到下年或以后年度继续使用的资金。</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9.</w:t>
      </w:r>
      <w:r>
        <w:rPr>
          <w:rFonts w:hint="eastAsia" w:ascii="仿宋" w:hAnsi="仿宋" w:eastAsia="仿宋"/>
          <w:color w:val="000000"/>
          <w:sz w:val="32"/>
          <w:szCs w:val="32"/>
        </w:rPr>
        <w:t xml:space="preserve"> 一般公共服务（类）政府办公厅（室）及相关机构事务（款）事业运行（项）：指反映事业单位的基本支出，不包括行政单位（包括实行公务员管理的事业单位）后勤服务中心、医务室等附属事业单位。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一般公共服务（类）政府办公厅（室）及相关机构事务（款）其他政府办公室（室）及相关机构事务支出（项）：指反映其他政府办公厅（室）及相关机构事务支出。</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0</w:t>
      </w:r>
      <w:r>
        <w:rPr>
          <w:rFonts w:ascii="仿宋" w:hAnsi="仿宋" w:eastAsia="仿宋"/>
          <w:color w:val="000000"/>
          <w:sz w:val="32"/>
          <w:szCs w:val="32"/>
        </w:rPr>
        <w:t>.</w:t>
      </w:r>
      <w:r>
        <w:rPr>
          <w:rFonts w:hint="eastAsia" w:ascii="仿宋" w:hAnsi="仿宋" w:eastAsia="仿宋"/>
          <w:color w:val="000000"/>
          <w:sz w:val="32"/>
          <w:szCs w:val="32"/>
        </w:rPr>
        <w:t xml:space="preserve"> 社会保障和就业（类）行政事业单位离退休（款）机关事业单位基本养老保险缴费支出（项）：指反映机关事业单位实施养老保险制度由单位缴纳基本养老保险费支出；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社会保障和就业（类）行政事业单位离退休（款）机关事业单位职业年金缴费支出（项）：指反映机关事业单位实施养老保险制度由单位实际缴纳的职业年金支出。</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2</w:t>
      </w:r>
      <w:r>
        <w:rPr>
          <w:rFonts w:ascii="仿宋" w:hAnsi="仿宋" w:eastAsia="仿宋"/>
          <w:color w:val="000000"/>
          <w:sz w:val="32"/>
          <w:szCs w:val="32"/>
        </w:rPr>
        <w:t>.</w:t>
      </w:r>
      <w:r>
        <w:rPr>
          <w:rFonts w:hint="eastAsia" w:ascii="仿宋" w:hAnsi="仿宋" w:eastAsia="仿宋"/>
          <w:color w:val="000000"/>
          <w:sz w:val="32"/>
          <w:szCs w:val="32"/>
        </w:rPr>
        <w:t xml:space="preserve"> 医疗卫生与计划生育（类）行政事业单位医疗（款）事业单位医疗（项）：指反映行政事业单位医疗方面的支出。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13</w:t>
      </w:r>
      <w:r>
        <w:rPr>
          <w:rFonts w:ascii="仿宋" w:hAnsi="仿宋" w:eastAsia="仿宋"/>
          <w:color w:val="000000"/>
          <w:sz w:val="32"/>
          <w:szCs w:val="32"/>
        </w:rPr>
        <w:t>.</w:t>
      </w:r>
      <w:r>
        <w:rPr>
          <w:rFonts w:hint="eastAsia" w:ascii="仿宋" w:hAnsi="仿宋" w:eastAsia="仿宋"/>
          <w:color w:val="000000"/>
          <w:sz w:val="32"/>
          <w:szCs w:val="32"/>
        </w:rPr>
        <w:t xml:space="preserve"> 住房保障（类）住房改革支出（款）住房公积金（项）：指反映行政事业单位按人力资源和社会保障部、财政部规定的基本工资和津贴补贴以及规定比例为职工缴纳的住房公积金。</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14</w:t>
      </w:r>
      <w:r>
        <w:rPr>
          <w:rFonts w:ascii="仿宋" w:hAnsi="仿宋" w:eastAsia="仿宋"/>
          <w:color w:val="000000"/>
          <w:sz w:val="32"/>
          <w:szCs w:val="32"/>
        </w:rPr>
        <w:t>.</w:t>
      </w:r>
      <w:r>
        <w:rPr>
          <w:rFonts w:hint="eastAsia" w:ascii="仿宋" w:hAnsi="仿宋" w:eastAsia="仿宋"/>
          <w:color w:val="000000"/>
          <w:sz w:val="32"/>
          <w:szCs w:val="32"/>
        </w:rPr>
        <w:t>基本支出：指为保障机构正常运转、完成日常工作任务而发生的人员支出和公用支出。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15</w:t>
      </w:r>
      <w:r>
        <w:rPr>
          <w:rFonts w:ascii="仿宋" w:hAnsi="仿宋" w:eastAsia="仿宋"/>
          <w:color w:val="000000"/>
          <w:sz w:val="32"/>
          <w:szCs w:val="32"/>
        </w:rPr>
        <w:t>.</w:t>
      </w:r>
      <w:r>
        <w:rPr>
          <w:rFonts w:hint="eastAsia" w:ascii="仿宋" w:hAnsi="仿宋" w:eastAsia="仿宋"/>
          <w:color w:val="000000"/>
          <w:sz w:val="32"/>
          <w:szCs w:val="32"/>
        </w:rPr>
        <w:t>项目支出：指在基本支出之外为完成特定行政任务和事业发展目标所发生的支出。</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16</w:t>
      </w:r>
      <w:r>
        <w:rPr>
          <w:rFonts w:ascii="仿宋" w:hAnsi="仿宋" w:eastAsia="仿宋"/>
          <w:color w:val="000000"/>
          <w:sz w:val="32"/>
          <w:szCs w:val="32"/>
        </w:rPr>
        <w:t>.</w:t>
      </w:r>
      <w:r>
        <w:rPr>
          <w:rFonts w:hint="eastAsia" w:ascii="仿宋" w:hAnsi="仿宋" w:eastAsia="仿宋"/>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hAnsi="仿宋"/>
          <w:sz w:val="32"/>
          <w:szCs w:val="32"/>
        </w:rPr>
      </w:pPr>
      <w:r>
        <w:rPr>
          <w:rFonts w:hint="eastAsia" w:hAnsi="仿宋"/>
          <w:sz w:val="32"/>
          <w:szCs w:val="32"/>
        </w:rPr>
        <w:t>17</w:t>
      </w:r>
      <w:r>
        <w:rPr>
          <w:rFonts w:hAnsi="仿宋"/>
          <w:sz w:val="32"/>
          <w:szCs w:val="32"/>
        </w:rPr>
        <w:t>.</w:t>
      </w:r>
      <w:r>
        <w:rPr>
          <w:rFonts w:hint="eastAsia" w:hAnsi="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hAnsi="仿宋"/>
          <w:sz w:val="32"/>
          <w:szCs w:val="32"/>
        </w:rPr>
      </w:pPr>
      <w:r>
        <w:rPr>
          <w:rFonts w:hint="eastAsia" w:hAnsi="仿宋"/>
          <w:sz w:val="32"/>
          <w:szCs w:val="32"/>
        </w:rPr>
        <w:t>18</w:t>
      </w:r>
      <w:r>
        <w:rPr>
          <w:rFonts w:hAnsi="仿宋"/>
          <w:sz w:val="32"/>
          <w:szCs w:val="32"/>
        </w:rPr>
        <w:t>.</w:t>
      </w:r>
      <w:r>
        <w:rPr>
          <w:rFonts w:hint="eastAsia" w:hAnsi="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黑体" w:hAnsi="黑体" w:eastAsia="黑体"/>
          <w:color w:val="000000"/>
          <w:sz w:val="44"/>
          <w:szCs w:val="44"/>
        </w:rPr>
      </w:pPr>
      <w:bookmarkStart w:id="49" w:name="_Toc15396614"/>
      <w:bookmarkStart w:id="50" w:name="_Toc15377226"/>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方正小标宋简体" w:hAnsi="方正小标宋简体" w:eastAsia="方正小标宋简体" w:cs="方正小标宋简体"/>
          <w:color w:val="000000"/>
          <w:sz w:val="44"/>
          <w:szCs w:val="44"/>
        </w:rPr>
      </w:pPr>
    </w:p>
    <w:p>
      <w:pPr>
        <w:spacing w:line="600" w:lineRule="exact"/>
        <w:jc w:val="center"/>
        <w:outlineLvl w:val="0"/>
        <w:rPr>
          <w:rFonts w:ascii="方正小标宋简体" w:hAnsi="方正小标宋简体" w:eastAsia="方正小标宋简体" w:cs="方正小标宋简体"/>
          <w:color w:val="000000"/>
          <w:sz w:val="44"/>
          <w:szCs w:val="44"/>
        </w:rPr>
      </w:pPr>
    </w:p>
    <w:p>
      <w:pPr>
        <w:spacing w:line="600" w:lineRule="exact"/>
        <w:jc w:val="center"/>
        <w:outlineLvl w:val="0"/>
        <w:rPr>
          <w:rFonts w:ascii="方正小标宋简体" w:hAnsi="方正小标宋简体" w:eastAsia="方正小标宋简体" w:cs="方正小标宋简体"/>
          <w:color w:val="000000"/>
          <w:sz w:val="44"/>
          <w:szCs w:val="44"/>
        </w:rPr>
      </w:pPr>
    </w:p>
    <w:p>
      <w:pPr>
        <w:spacing w:line="600" w:lineRule="exact"/>
        <w:jc w:val="center"/>
        <w:outlineLvl w:val="0"/>
        <w:rPr>
          <w:rFonts w:ascii="方正小标宋简体" w:hAnsi="方正小标宋简体" w:eastAsia="方正小标宋简体" w:cs="方正小标宋简体"/>
          <w:color w:val="000000"/>
          <w:sz w:val="44"/>
          <w:szCs w:val="44"/>
        </w:rPr>
      </w:pPr>
    </w:p>
    <w:p>
      <w:pPr>
        <w:spacing w:line="600" w:lineRule="exact"/>
        <w:jc w:val="center"/>
        <w:outlineLvl w:val="0"/>
        <w:rPr>
          <w:rStyle w:val="24"/>
          <w:rFonts w:ascii="方正小标宋简体" w:hAnsi="方正小标宋简体" w:eastAsia="方正小标宋简体" w:cs="方正小标宋简体"/>
          <w:b w:val="0"/>
        </w:rPr>
      </w:pPr>
      <w:r>
        <w:rPr>
          <w:rFonts w:hint="eastAsia" w:ascii="方正小标宋简体" w:hAnsi="方正小标宋简体" w:eastAsia="方正小标宋简体" w:cs="方正小标宋简体"/>
          <w:color w:val="000000"/>
          <w:sz w:val="44"/>
          <w:szCs w:val="44"/>
        </w:rPr>
        <w:t>第</w:t>
      </w:r>
      <w:r>
        <w:rPr>
          <w:rStyle w:val="24"/>
          <w:rFonts w:hint="eastAsia" w:ascii="方正小标宋简体" w:hAnsi="方正小标宋简体" w:eastAsia="方正小标宋简体" w:cs="方正小标宋简体"/>
          <w:b w:val="0"/>
        </w:rPr>
        <w:t>四部分 附件</w:t>
      </w:r>
      <w:bookmarkEnd w:id="49"/>
    </w:p>
    <w:p>
      <w:pPr>
        <w:spacing w:line="600" w:lineRule="exact"/>
        <w:jc w:val="center"/>
        <w:rPr>
          <w:rFonts w:ascii="方正小标宋简体" w:hAnsi="宋体" w:eastAsia="方正小标宋简体"/>
          <w:color w:val="FF0000"/>
          <w:kern w:val="0"/>
          <w:sz w:val="44"/>
          <w:szCs w:val="44"/>
          <w:lang w:val="zh-CN"/>
        </w:rPr>
      </w:pPr>
    </w:p>
    <w:p>
      <w:pPr>
        <w:spacing w:line="600" w:lineRule="exact"/>
        <w:jc w:val="center"/>
        <w:rPr>
          <w:rFonts w:ascii="方正小标宋简体" w:hAnsi="宋体" w:eastAsia="方正小标宋简体"/>
          <w:kern w:val="0"/>
          <w:sz w:val="44"/>
          <w:szCs w:val="44"/>
          <w:lang w:val="zh-CN"/>
        </w:rPr>
      </w:pPr>
      <w:r>
        <w:rPr>
          <w:rFonts w:hint="eastAsia" w:eastAsia="仿宋_GB2312"/>
          <w:spacing w:val="-20"/>
          <w:sz w:val="44"/>
          <w:szCs w:val="44"/>
          <w:lang w:val="zh-CN"/>
        </w:rPr>
        <w:t>202</w:t>
      </w:r>
      <w:r>
        <w:rPr>
          <w:rFonts w:hint="eastAsia" w:eastAsia="仿宋_GB2312"/>
          <w:spacing w:val="-20"/>
          <w:sz w:val="44"/>
          <w:szCs w:val="44"/>
        </w:rPr>
        <w:t>0</w:t>
      </w:r>
      <w:r>
        <w:rPr>
          <w:rFonts w:hint="eastAsia" w:ascii="方正小标宋简体" w:hAnsi="宋体" w:eastAsia="方正小标宋简体"/>
          <w:kern w:val="0"/>
          <w:sz w:val="44"/>
          <w:szCs w:val="44"/>
          <w:lang w:val="zh-CN"/>
        </w:rPr>
        <w:t>年资产处置服务平台工作经费</w:t>
      </w:r>
    </w:p>
    <w:p>
      <w:pPr>
        <w:spacing w:line="600" w:lineRule="exact"/>
        <w:jc w:val="center"/>
        <w:rPr>
          <w:rFonts w:ascii="方正小标宋简体" w:hAnsi="宋体" w:eastAsia="方正小标宋简体"/>
          <w:kern w:val="0"/>
          <w:sz w:val="44"/>
          <w:szCs w:val="44"/>
          <w:lang w:val="zh-CN"/>
        </w:rPr>
      </w:pPr>
      <w:r>
        <w:rPr>
          <w:rFonts w:hint="eastAsia" w:ascii="方正小标宋简体" w:hAnsi="宋体" w:eastAsia="方正小标宋简体"/>
          <w:kern w:val="0"/>
          <w:sz w:val="44"/>
          <w:szCs w:val="44"/>
          <w:lang w:val="zh-CN"/>
        </w:rPr>
        <w:t>项目支出绩效自评报告</w:t>
      </w:r>
    </w:p>
    <w:p>
      <w:pPr>
        <w:spacing w:line="6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（项目单位自评）</w:t>
      </w:r>
    </w:p>
    <w:p>
      <w:pPr>
        <w:spacing w:line="600" w:lineRule="exact"/>
        <w:rPr>
          <w:rFonts w:ascii="宋体" w:hAnsi="宋体"/>
          <w:sz w:val="32"/>
          <w:szCs w:val="32"/>
          <w:lang w:val="zh-CN"/>
        </w:rPr>
      </w:pPr>
    </w:p>
    <w:p>
      <w:pPr>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60" w:lineRule="exact"/>
        <w:ind w:firstLine="720"/>
        <w:rPr>
          <w:rFonts w:ascii="仿宋" w:hAnsi="仿宋" w:eastAsia="仿宋"/>
          <w:sz w:val="32"/>
          <w:szCs w:val="32"/>
          <w:lang w:val="zh-CN"/>
        </w:rPr>
      </w:pPr>
      <w:r>
        <w:rPr>
          <w:rFonts w:hint="eastAsia" w:ascii="仿宋" w:hAnsi="仿宋" w:eastAsia="仿宋"/>
          <w:sz w:val="32"/>
          <w:szCs w:val="32"/>
          <w:lang w:val="zh-CN"/>
        </w:rPr>
        <w:t>介绍项目基本情况，重点说明以下内容：</w:t>
      </w:r>
    </w:p>
    <w:p>
      <w:pPr>
        <w:adjustRightInd w:val="0"/>
        <w:snapToGrid w:val="0"/>
        <w:spacing w:line="56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（一）项目资金申报及批复情况</w:t>
      </w:r>
    </w:p>
    <w:p>
      <w:pPr>
        <w:snapToGrid w:val="0"/>
        <w:spacing w:line="560" w:lineRule="exact"/>
        <w:ind w:firstLine="640" w:firstLineChars="200"/>
        <w:rPr>
          <w:rFonts w:ascii="仿宋" w:hAnsi="仿宋" w:eastAsia="仿宋" w:cs="仿宋_GB2312"/>
          <w:kern w:val="0"/>
          <w:sz w:val="32"/>
          <w:szCs w:val="32"/>
          <w:lang w:val="zh-CN"/>
        </w:rPr>
      </w:pPr>
      <w:r>
        <w:rPr>
          <w:rFonts w:hint="eastAsia" w:ascii="仿宋" w:hAnsi="仿宋" w:eastAsia="仿宋" w:cs="仿宋_GB2312"/>
          <w:kern w:val="0"/>
          <w:sz w:val="32"/>
          <w:szCs w:val="32"/>
          <w:lang w:val="zh-CN"/>
        </w:rPr>
        <w:t>“资产处置服务平台工作经费”项目为延续性项目，项目主管单位为四川省省级机关国有资产管理中心，项目主管部门为四川省机关事务管理局。</w:t>
      </w:r>
      <w:r>
        <w:rPr>
          <w:rFonts w:hint="eastAsia" w:ascii="仿宋" w:hAnsi="仿宋" w:eastAsia="仿宋"/>
          <w:spacing w:val="-20"/>
          <w:sz w:val="32"/>
          <w:szCs w:val="32"/>
          <w:lang w:val="zh-CN"/>
        </w:rPr>
        <w:t>2020</w:t>
      </w:r>
      <w:r>
        <w:rPr>
          <w:rFonts w:hint="eastAsia" w:ascii="仿宋" w:hAnsi="仿宋" w:eastAsia="仿宋" w:cs="仿宋_GB2312"/>
          <w:kern w:val="0"/>
          <w:sz w:val="32"/>
          <w:szCs w:val="32"/>
          <w:lang w:val="zh-CN"/>
        </w:rPr>
        <w:t>年，中心按照上级部门项目申报程序要求，对该项目进行了预算申报，获得了预算批复。该项目全部为省级财政资金，纳入</w:t>
      </w:r>
      <w:r>
        <w:rPr>
          <w:rFonts w:hint="eastAsia" w:ascii="仿宋" w:hAnsi="仿宋" w:eastAsia="仿宋"/>
          <w:spacing w:val="-20"/>
          <w:sz w:val="32"/>
          <w:szCs w:val="32"/>
          <w:lang w:val="zh-CN"/>
        </w:rPr>
        <w:t>2020</w:t>
      </w:r>
      <w:r>
        <w:rPr>
          <w:rFonts w:hint="eastAsia" w:ascii="仿宋" w:hAnsi="仿宋" w:eastAsia="仿宋" w:cs="仿宋_GB2312"/>
          <w:kern w:val="0"/>
          <w:sz w:val="32"/>
          <w:szCs w:val="32"/>
          <w:lang w:val="zh-CN"/>
        </w:rPr>
        <w:t>年部门预算项目资金为</w:t>
      </w:r>
      <w:r>
        <w:rPr>
          <w:rFonts w:hint="eastAsia" w:ascii="仿宋" w:hAnsi="仿宋" w:eastAsia="仿宋"/>
          <w:spacing w:val="-20"/>
          <w:sz w:val="32"/>
          <w:szCs w:val="32"/>
          <w:lang w:val="zh-CN"/>
        </w:rPr>
        <w:t>145</w:t>
      </w:r>
      <w:r>
        <w:rPr>
          <w:rFonts w:hint="eastAsia" w:ascii="仿宋" w:hAnsi="仿宋" w:eastAsia="仿宋" w:cs="仿宋_GB2312"/>
          <w:kern w:val="0"/>
          <w:sz w:val="32"/>
          <w:szCs w:val="32"/>
          <w:lang w:val="zh-CN"/>
        </w:rPr>
        <w:t>万元，实际执行金额为</w:t>
      </w:r>
      <w:r>
        <w:rPr>
          <w:rFonts w:hint="eastAsia" w:ascii="仿宋" w:hAnsi="仿宋" w:eastAsia="仿宋"/>
          <w:spacing w:val="-20"/>
          <w:sz w:val="32"/>
          <w:szCs w:val="32"/>
          <w:lang w:val="zh-CN"/>
        </w:rPr>
        <w:t>144</w:t>
      </w:r>
      <w:r>
        <w:rPr>
          <w:rFonts w:hint="eastAsia" w:ascii="仿宋" w:hAnsi="仿宋" w:eastAsia="仿宋" w:cs="仿宋_GB2312"/>
          <w:kern w:val="0"/>
          <w:sz w:val="32"/>
          <w:szCs w:val="32"/>
          <w:lang w:val="zh-CN"/>
        </w:rPr>
        <w:t>万元，无预算和绩效指标调整情况。该项目符合项目资金管理办法等相关规定。</w:t>
      </w:r>
    </w:p>
    <w:p>
      <w:pPr>
        <w:adjustRightInd w:val="0"/>
        <w:snapToGrid w:val="0"/>
        <w:spacing w:line="560" w:lineRule="exact"/>
        <w:ind w:firstLine="720"/>
        <w:rPr>
          <w:rFonts w:ascii="楷体_GB2312" w:hAnsi="楷体_GB2312" w:eastAsia="楷体_GB2312" w:cs="楷体_GB2312"/>
          <w:sz w:val="32"/>
          <w:szCs w:val="32"/>
          <w:lang w:val="zh-CN"/>
        </w:rPr>
      </w:pPr>
      <w:r>
        <w:rPr>
          <w:rFonts w:hint="eastAsia" w:ascii="楷体_GB2312" w:hAnsi="楷体_GB2312" w:eastAsia="楷体_GB2312" w:cs="楷体_GB2312"/>
          <w:b/>
          <w:sz w:val="32"/>
          <w:szCs w:val="32"/>
          <w:lang w:val="zh-CN"/>
        </w:rPr>
        <w:t>（二）项目绩效目标</w:t>
      </w:r>
    </w:p>
    <w:p>
      <w:pPr>
        <w:widowControl/>
        <w:adjustRightInd w:val="0"/>
        <w:snapToGrid w:val="0"/>
        <w:spacing w:line="560" w:lineRule="exact"/>
        <w:ind w:firstLine="645"/>
        <w:rPr>
          <w:rFonts w:ascii="仿宋" w:hAnsi="仿宋" w:eastAsia="仿宋" w:cs="仿宋_GB2312"/>
          <w:kern w:val="0"/>
          <w:sz w:val="32"/>
          <w:szCs w:val="32"/>
          <w:lang w:val="zh-CN"/>
        </w:rPr>
      </w:pPr>
      <w:r>
        <w:rPr>
          <w:rFonts w:hint="eastAsia" w:ascii="仿宋" w:hAnsi="仿宋" w:eastAsia="仿宋" w:cs="仿宋_GB2312"/>
          <w:kern w:val="0"/>
          <w:sz w:val="32"/>
          <w:szCs w:val="32"/>
          <w:lang w:val="zh-CN"/>
        </w:rPr>
        <w:t>“资产处置服务平台工作经费”项目的设立是为了进一步规范省级行政事业单位国有资产处置工作，提高资产管理效率，实现资产处置过程公开、透明、完整，确保国有资产的安全完整、保值增值，确保了国有资产收益的最大化。</w:t>
      </w:r>
    </w:p>
    <w:p>
      <w:pPr>
        <w:adjustRightInd w:val="0"/>
        <w:snapToGrid w:val="0"/>
        <w:spacing w:line="56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（三）项目资金申报相符性</w:t>
      </w:r>
    </w:p>
    <w:p>
      <w:pPr>
        <w:widowControl/>
        <w:adjustRightInd w:val="0"/>
        <w:snapToGrid w:val="0"/>
        <w:spacing w:line="560" w:lineRule="exact"/>
        <w:ind w:firstLine="645"/>
        <w:rPr>
          <w:rFonts w:ascii="仿宋" w:hAnsi="仿宋" w:eastAsia="仿宋" w:cs="仿宋_GB2312"/>
          <w:kern w:val="0"/>
          <w:sz w:val="32"/>
          <w:szCs w:val="32"/>
          <w:lang w:val="zh-CN"/>
        </w:rPr>
      </w:pPr>
      <w:r>
        <w:rPr>
          <w:rFonts w:hint="eastAsia" w:ascii="仿宋" w:hAnsi="仿宋" w:eastAsia="仿宋" w:cs="仿宋_GB2312"/>
          <w:kern w:val="0"/>
          <w:sz w:val="32"/>
          <w:szCs w:val="32"/>
          <w:lang w:val="zh-CN"/>
        </w:rPr>
        <w:t>“资产处置服务平台工作经费”项目是根据四川省机关事务管理局关于印发《四川省省级机关国有资产处置服务平台实施细则（试行）》的通知，川机管发</w:t>
      </w:r>
      <w:r>
        <w:rPr>
          <w:rFonts w:hint="eastAsia" w:ascii="仿宋" w:hAnsi="仿宋" w:eastAsia="仿宋" w:cs="仿宋_GB2312"/>
          <w:sz w:val="32"/>
          <w:szCs w:val="32"/>
        </w:rPr>
        <w:t>〔</w:t>
      </w:r>
      <w:r>
        <w:rPr>
          <w:rFonts w:hint="eastAsia" w:ascii="仿宋" w:hAnsi="仿宋" w:eastAsia="仿宋"/>
          <w:spacing w:val="-20"/>
          <w:sz w:val="32"/>
          <w:szCs w:val="32"/>
        </w:rPr>
        <w:t>2019</w:t>
      </w:r>
      <w:r>
        <w:rPr>
          <w:rFonts w:hint="eastAsia" w:ascii="仿宋" w:hAnsi="仿宋" w:eastAsia="仿宋" w:cs="仿宋_GB2312"/>
          <w:sz w:val="32"/>
          <w:szCs w:val="32"/>
        </w:rPr>
        <w:t>〕</w:t>
      </w:r>
      <w:r>
        <w:rPr>
          <w:rFonts w:hint="eastAsia" w:ascii="仿宋" w:hAnsi="仿宋" w:eastAsia="仿宋"/>
          <w:spacing w:val="-20"/>
          <w:sz w:val="32"/>
          <w:szCs w:val="32"/>
          <w:lang w:val="zh-CN"/>
        </w:rPr>
        <w:t>66</w:t>
      </w:r>
      <w:r>
        <w:rPr>
          <w:rFonts w:hint="eastAsia" w:ascii="仿宋" w:hAnsi="仿宋" w:eastAsia="仿宋" w:cs="仿宋_GB2312"/>
          <w:kern w:val="0"/>
          <w:sz w:val="32"/>
          <w:szCs w:val="32"/>
          <w:lang w:val="zh-CN"/>
        </w:rPr>
        <w:t>号文件，四川省省级机关国有资产处置服务平台全面开展省级行政事业单位国有资产进行集中统一处置，负责省级行政事业单位国有资产处置工作，主要工作为处置纪委 罚没物质、报废物资、房地产股权债权、其他国有资产。涉及鉴定、评估、拍卖，物流、仓储等工作内容。该项目申报内容与具体实施内容相符、申报目标合理可行。</w:t>
      </w:r>
    </w:p>
    <w:p>
      <w:pPr>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二、项目实施及管理情况</w:t>
      </w:r>
    </w:p>
    <w:p>
      <w:pPr>
        <w:adjustRightInd w:val="0"/>
        <w:snapToGrid w:val="0"/>
        <w:spacing w:line="560" w:lineRule="exact"/>
        <w:ind w:firstLine="720"/>
        <w:rPr>
          <w:rFonts w:ascii="仿宋" w:hAnsi="仿宋" w:eastAsia="仿宋" w:cs="仿宋_GB2312"/>
          <w:sz w:val="32"/>
          <w:szCs w:val="32"/>
          <w:lang w:val="zh-CN"/>
        </w:rPr>
      </w:pPr>
      <w:r>
        <w:rPr>
          <w:rFonts w:hint="eastAsia" w:ascii="仿宋" w:hAnsi="仿宋" w:eastAsia="仿宋" w:cs="仿宋_GB2312"/>
          <w:sz w:val="32"/>
          <w:szCs w:val="32"/>
          <w:lang w:val="zh-CN"/>
        </w:rPr>
        <w:t>1．资金计划及到位。</w:t>
      </w:r>
    </w:p>
    <w:p>
      <w:pPr>
        <w:adjustRightInd w:val="0"/>
        <w:snapToGrid w:val="0"/>
        <w:spacing w:line="560" w:lineRule="exact"/>
        <w:ind w:firstLine="720"/>
        <w:rPr>
          <w:rFonts w:ascii="仿宋" w:hAnsi="仿宋" w:eastAsia="仿宋" w:cs="仿宋_GB2312"/>
          <w:kern w:val="0"/>
          <w:sz w:val="32"/>
          <w:szCs w:val="32"/>
          <w:lang w:val="zh-CN"/>
        </w:rPr>
      </w:pPr>
      <w:r>
        <w:rPr>
          <w:rFonts w:hint="eastAsia" w:ascii="仿宋" w:hAnsi="仿宋" w:eastAsia="仿宋" w:cs="仿宋_GB2312"/>
          <w:kern w:val="0"/>
          <w:sz w:val="32"/>
          <w:szCs w:val="32"/>
          <w:lang w:val="zh-CN"/>
        </w:rPr>
        <w:t>“资产处置服务平台工作经费”项目全部财政拨款资金，纳入</w:t>
      </w:r>
      <w:r>
        <w:rPr>
          <w:rFonts w:hint="eastAsia" w:ascii="仿宋" w:hAnsi="仿宋" w:eastAsia="仿宋"/>
          <w:spacing w:val="-20"/>
          <w:sz w:val="32"/>
          <w:szCs w:val="32"/>
          <w:lang w:val="zh-CN"/>
        </w:rPr>
        <w:t>2020</w:t>
      </w:r>
      <w:r>
        <w:rPr>
          <w:rFonts w:hint="eastAsia" w:ascii="仿宋" w:hAnsi="仿宋" w:eastAsia="仿宋" w:cs="仿宋_GB2312"/>
          <w:kern w:val="0"/>
          <w:sz w:val="32"/>
          <w:szCs w:val="32"/>
          <w:lang w:val="zh-CN"/>
        </w:rPr>
        <w:t>年部门预算项目资金为</w:t>
      </w:r>
      <w:r>
        <w:rPr>
          <w:rFonts w:hint="eastAsia" w:ascii="仿宋" w:hAnsi="仿宋" w:eastAsia="仿宋"/>
          <w:spacing w:val="-20"/>
          <w:sz w:val="32"/>
          <w:szCs w:val="32"/>
          <w:lang w:val="zh-CN"/>
        </w:rPr>
        <w:t>145</w:t>
      </w:r>
      <w:r>
        <w:rPr>
          <w:rFonts w:hint="eastAsia" w:ascii="仿宋" w:hAnsi="仿宋" w:eastAsia="仿宋" w:cs="仿宋_GB2312"/>
          <w:kern w:val="0"/>
          <w:sz w:val="32"/>
          <w:szCs w:val="32"/>
          <w:lang w:val="zh-CN"/>
        </w:rPr>
        <w:t>万元。截止</w:t>
      </w:r>
      <w:r>
        <w:rPr>
          <w:rFonts w:hint="eastAsia" w:ascii="仿宋" w:hAnsi="仿宋" w:eastAsia="仿宋"/>
          <w:spacing w:val="-20"/>
          <w:sz w:val="32"/>
          <w:szCs w:val="32"/>
          <w:lang w:val="zh-CN"/>
        </w:rPr>
        <w:t>2020</w:t>
      </w:r>
      <w:r>
        <w:rPr>
          <w:rFonts w:hint="eastAsia" w:ascii="仿宋" w:hAnsi="仿宋" w:eastAsia="仿宋" w:cs="仿宋_GB2312"/>
          <w:kern w:val="0"/>
          <w:sz w:val="32"/>
          <w:szCs w:val="32"/>
          <w:lang w:val="zh-CN"/>
        </w:rPr>
        <w:t>年末，资金实际到位</w:t>
      </w:r>
      <w:r>
        <w:rPr>
          <w:rFonts w:hint="eastAsia" w:ascii="仿宋" w:hAnsi="仿宋" w:eastAsia="仿宋"/>
          <w:spacing w:val="-20"/>
          <w:sz w:val="32"/>
          <w:szCs w:val="32"/>
          <w:lang w:val="zh-CN"/>
        </w:rPr>
        <w:t>145</w:t>
      </w:r>
      <w:r>
        <w:rPr>
          <w:rFonts w:hint="eastAsia" w:ascii="仿宋" w:hAnsi="仿宋" w:eastAsia="仿宋" w:cs="仿宋_GB2312"/>
          <w:kern w:val="0"/>
          <w:sz w:val="32"/>
          <w:szCs w:val="32"/>
          <w:lang w:val="zh-CN"/>
        </w:rPr>
        <w:t>万元，资金到位及时，到位率为</w:t>
      </w:r>
      <w:r>
        <w:rPr>
          <w:rFonts w:hint="eastAsia" w:ascii="仿宋" w:hAnsi="仿宋" w:eastAsia="仿宋"/>
          <w:spacing w:val="-20"/>
          <w:sz w:val="32"/>
          <w:szCs w:val="32"/>
          <w:lang w:val="zh-CN"/>
        </w:rPr>
        <w:t>100%</w:t>
      </w:r>
      <w:r>
        <w:rPr>
          <w:rFonts w:hint="eastAsia" w:ascii="仿宋" w:hAnsi="仿宋" w:eastAsia="仿宋" w:cs="仿宋_GB2312"/>
          <w:kern w:val="0"/>
          <w:sz w:val="32"/>
          <w:szCs w:val="32"/>
          <w:lang w:val="zh-CN"/>
        </w:rPr>
        <w:t>。</w:t>
      </w:r>
    </w:p>
    <w:p>
      <w:pPr>
        <w:adjustRightInd w:val="0"/>
        <w:snapToGrid w:val="0"/>
        <w:spacing w:line="560" w:lineRule="exact"/>
        <w:ind w:firstLine="720"/>
        <w:rPr>
          <w:rFonts w:ascii="仿宋" w:hAnsi="仿宋" w:eastAsia="仿宋" w:cs="仿宋_GB2312"/>
          <w:sz w:val="32"/>
          <w:szCs w:val="32"/>
          <w:lang w:val="zh-CN"/>
        </w:rPr>
      </w:pPr>
      <w:r>
        <w:rPr>
          <w:rFonts w:hint="eastAsia" w:ascii="仿宋" w:hAnsi="仿宋" w:eastAsia="仿宋" w:cs="仿宋_GB2312"/>
          <w:sz w:val="32"/>
          <w:szCs w:val="32"/>
          <w:lang w:val="zh-CN"/>
        </w:rPr>
        <w:t>2．资金使用。</w:t>
      </w:r>
    </w:p>
    <w:p>
      <w:pPr>
        <w:widowControl/>
        <w:adjustRightInd w:val="0"/>
        <w:snapToGrid w:val="0"/>
        <w:spacing w:line="560" w:lineRule="exact"/>
        <w:ind w:firstLine="640" w:firstLineChars="200"/>
        <w:rPr>
          <w:rFonts w:ascii="仿宋" w:hAnsi="仿宋" w:eastAsia="仿宋" w:cs="仿宋_GB2312"/>
          <w:kern w:val="0"/>
          <w:szCs w:val="32"/>
          <w:shd w:val="clear" w:color="auto" w:fill="FFFFFF"/>
        </w:rPr>
      </w:pPr>
      <w:r>
        <w:rPr>
          <w:rFonts w:hint="eastAsia" w:ascii="仿宋" w:hAnsi="仿宋" w:eastAsia="仿宋" w:cs="仿宋_GB2312"/>
          <w:kern w:val="0"/>
          <w:sz w:val="32"/>
          <w:szCs w:val="32"/>
          <w:lang w:val="zh-CN"/>
        </w:rPr>
        <w:t>截止</w:t>
      </w:r>
      <w:r>
        <w:rPr>
          <w:rFonts w:hint="eastAsia" w:ascii="仿宋" w:hAnsi="仿宋" w:eastAsia="仿宋"/>
          <w:spacing w:val="-20"/>
          <w:sz w:val="32"/>
          <w:szCs w:val="32"/>
          <w:lang w:val="zh-CN"/>
        </w:rPr>
        <w:t>2020</w:t>
      </w:r>
      <w:r>
        <w:rPr>
          <w:rFonts w:hint="eastAsia" w:ascii="仿宋" w:hAnsi="仿宋" w:eastAsia="仿宋" w:cs="仿宋_GB2312"/>
          <w:kern w:val="0"/>
          <w:sz w:val="32"/>
          <w:szCs w:val="32"/>
          <w:lang w:val="zh-CN"/>
        </w:rPr>
        <w:t>年末，“资产处置服务平台工作经费”项目资金实际支出为</w:t>
      </w:r>
      <w:r>
        <w:rPr>
          <w:rFonts w:hint="eastAsia" w:ascii="仿宋" w:hAnsi="仿宋" w:eastAsia="仿宋"/>
          <w:spacing w:val="-20"/>
          <w:sz w:val="32"/>
          <w:szCs w:val="32"/>
          <w:lang w:val="zh-CN"/>
        </w:rPr>
        <w:t>144</w:t>
      </w:r>
      <w:r>
        <w:rPr>
          <w:rFonts w:hint="eastAsia" w:ascii="仿宋" w:hAnsi="仿宋" w:eastAsia="仿宋" w:cs="仿宋_GB2312"/>
          <w:kern w:val="0"/>
          <w:sz w:val="32"/>
          <w:szCs w:val="32"/>
          <w:lang w:val="zh-CN"/>
        </w:rPr>
        <w:t>万元，通过政府采购，节约了预算资金。项目资金开支范围、标准及支付进行符合规定，支付依据合规合法，项目资金支付与预算相符。</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adjustRightInd w:val="0"/>
        <w:snapToGrid w:val="0"/>
        <w:spacing w:line="560" w:lineRule="exact"/>
        <w:ind w:firstLine="720"/>
        <w:rPr>
          <w:rFonts w:ascii="仿宋" w:hAnsi="仿宋" w:eastAsia="仿宋" w:cs="仿宋_GB2312"/>
          <w:kern w:val="0"/>
          <w:sz w:val="32"/>
          <w:szCs w:val="32"/>
          <w:lang w:val="zh-CN"/>
        </w:rPr>
      </w:pPr>
      <w:r>
        <w:rPr>
          <w:rFonts w:hint="eastAsia" w:ascii="仿宋" w:hAnsi="仿宋" w:eastAsia="仿宋" w:cs="仿宋_GB2312"/>
          <w:kern w:val="0"/>
          <w:sz w:val="32"/>
          <w:szCs w:val="32"/>
          <w:lang w:val="zh-CN"/>
        </w:rPr>
        <w:t>“资产处置服务平台工作经费”项目财务管理制度健全，项目资金支付严格执行项目资金管理办法，财务处理及时、准确，会计核算规范，项目支出账面数与决算数一致。</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pPr>
        <w:adjustRightInd w:val="0"/>
        <w:snapToGrid w:val="0"/>
        <w:spacing w:line="560" w:lineRule="exact"/>
        <w:ind w:firstLine="720"/>
        <w:rPr>
          <w:rFonts w:ascii="仿宋" w:hAnsi="仿宋" w:eastAsia="仿宋" w:cs="仿宋_GB2312"/>
          <w:kern w:val="0"/>
          <w:sz w:val="32"/>
          <w:szCs w:val="32"/>
          <w:lang w:val="zh-CN"/>
        </w:rPr>
      </w:pPr>
      <w:r>
        <w:rPr>
          <w:rFonts w:hint="eastAsia" w:ascii="仿宋" w:hAnsi="仿宋" w:eastAsia="仿宋" w:cs="仿宋_GB2312"/>
          <w:kern w:val="0"/>
          <w:sz w:val="32"/>
          <w:szCs w:val="32"/>
          <w:lang w:val="zh-CN"/>
        </w:rPr>
        <w:t>通过该项目的实施，推进了资产处置工作标准化建设。 一是进一步完善了资产处置工作制度，进一步明确业务工作标准和责任；二是规范废旧物资处置流程，确保资产处置过程透明，确保废旧资产规范移交；三是加强资产处置档案管理，确保资产处置档案详实、源头可溯，实现资产处置可查可溯。</w:t>
      </w:r>
    </w:p>
    <w:p>
      <w:pPr>
        <w:adjustRightInd w:val="0"/>
        <w:snapToGrid w:val="0"/>
        <w:spacing w:line="560" w:lineRule="exact"/>
        <w:ind w:firstLine="720"/>
        <w:rPr>
          <w:rFonts w:ascii="仿宋_GB2312" w:hAnsi="宋体" w:eastAsia="仿宋_GB2312"/>
          <w:sz w:val="32"/>
          <w:szCs w:val="32"/>
          <w:lang w:val="zh-CN"/>
        </w:rPr>
      </w:pPr>
      <w:r>
        <w:rPr>
          <w:rFonts w:hint="eastAsia" w:ascii="黑体" w:hAnsi="宋体" w:eastAsia="黑体"/>
          <w:sz w:val="32"/>
          <w:szCs w:val="32"/>
        </w:rPr>
        <w:t>三、项目绩效情况</w:t>
      </w:r>
      <w:r>
        <w:rPr>
          <w:rFonts w:hint="eastAsia" w:ascii="仿宋_GB2312" w:hAnsi="宋体" w:eastAsia="仿宋_GB2312"/>
          <w:sz w:val="32"/>
          <w:szCs w:val="32"/>
          <w:lang w:val="zh-CN"/>
        </w:rPr>
        <w:tab/>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60" w:lineRule="exact"/>
        <w:ind w:firstLine="720"/>
        <w:rPr>
          <w:rFonts w:ascii="仿宋" w:hAnsi="仿宋" w:eastAsia="仿宋" w:cs="仿宋_GB2312"/>
          <w:kern w:val="0"/>
          <w:szCs w:val="32"/>
          <w:shd w:val="clear" w:color="auto" w:fill="FFFFFF"/>
        </w:rPr>
      </w:pPr>
      <w:r>
        <w:rPr>
          <w:rFonts w:hint="eastAsia" w:ascii="仿宋" w:hAnsi="仿宋" w:eastAsia="仿宋" w:cs="仿宋_GB2312"/>
          <w:kern w:val="0"/>
          <w:sz w:val="32"/>
          <w:szCs w:val="32"/>
          <w:lang w:val="zh-CN"/>
        </w:rPr>
        <w:t>“资产处置服务平台工作经费”项目绩效目标均按期完成，如期完成了数量、质量、时效、成本等相关指标均，与预期目标相契合，未产生偏离；项目预期的经济效益、社会效益、生态效益、可持续性以及满意度指标的实现程度及趋势等均正常，未产生偏离，完成较好。实现了资产处置过程公开、透明、完整，确保了国有资产的安全完整、保值增值，确保了国有资产收益的最大化。</w:t>
      </w:r>
    </w:p>
    <w:p>
      <w:pPr>
        <w:adjustRightInd w:val="0"/>
        <w:snapToGrid w:val="0"/>
        <w:spacing w:line="560" w:lineRule="exact"/>
        <w:ind w:firstLine="720"/>
        <w:rPr>
          <w:rFonts w:ascii="仿宋_GB2312" w:hAnsi="仿宋_GB2312" w:eastAsia="仿宋_GB2312" w:cs="仿宋_GB2312"/>
          <w:b/>
          <w:sz w:val="32"/>
          <w:szCs w:val="32"/>
          <w:lang w:val="zh-CN"/>
        </w:rPr>
      </w:pPr>
      <w:r>
        <w:rPr>
          <w:rFonts w:hint="eastAsia" w:ascii="楷体_GB2312" w:hAnsi="宋体" w:eastAsia="楷体_GB2312"/>
          <w:b/>
          <w:sz w:val="32"/>
          <w:szCs w:val="32"/>
          <w:lang w:val="zh-CN"/>
        </w:rPr>
        <w:t>（二）项目效益情况</w:t>
      </w:r>
    </w:p>
    <w:p>
      <w:pPr>
        <w:spacing w:line="560" w:lineRule="exact"/>
        <w:ind w:firstLine="640" w:firstLineChars="200"/>
        <w:rPr>
          <w:rFonts w:ascii="仿宋" w:hAnsi="仿宋" w:eastAsia="仿宋" w:cs="仿宋_GB2312"/>
          <w:kern w:val="0"/>
          <w:sz w:val="32"/>
          <w:szCs w:val="32"/>
          <w:lang w:val="zh-CN"/>
        </w:rPr>
      </w:pPr>
      <w:r>
        <w:rPr>
          <w:rFonts w:hint="eastAsia" w:ascii="仿宋" w:hAnsi="仿宋" w:eastAsia="仿宋" w:cs="仿宋_GB2312"/>
          <w:kern w:val="0"/>
          <w:sz w:val="32"/>
          <w:szCs w:val="32"/>
          <w:lang w:val="zh-CN"/>
        </w:rPr>
        <w:t>“资产处置服务平台工作经费”项目经济、社会、生态、可持续效益以及服务对象满意度等项目效益良好。一是开展并完成了省级单位房地产处置及公开竞租工作；二是完成了股权债权类资产的审计、评估及拍卖工作；三通过公开拍卖和移交拆解的方式对废旧物同进行了处置；四是完成了纪委专项物资的处置，处置收益全收益已全额上缴省级财政。</w:t>
      </w:r>
    </w:p>
    <w:p>
      <w:pPr>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四、问题及建议</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（一）存在的问题</w:t>
      </w:r>
    </w:p>
    <w:p>
      <w:pPr>
        <w:spacing w:line="560" w:lineRule="exact"/>
        <w:ind w:firstLine="640" w:firstLineChars="200"/>
        <w:rPr>
          <w:rFonts w:ascii="仿宋" w:hAnsi="仿宋" w:eastAsia="仿宋" w:cs="仿宋_GB2312"/>
          <w:kern w:val="0"/>
          <w:sz w:val="32"/>
          <w:szCs w:val="32"/>
          <w:lang w:val="zh-CN"/>
        </w:rPr>
      </w:pPr>
      <w:r>
        <w:rPr>
          <w:rFonts w:hint="eastAsia" w:ascii="仿宋" w:hAnsi="仿宋" w:eastAsia="仿宋" w:cs="仿宋_GB2312"/>
          <w:kern w:val="0"/>
          <w:sz w:val="32"/>
          <w:szCs w:val="32"/>
          <w:lang w:val="zh-CN"/>
        </w:rPr>
        <w:t>1.项目绩效目标编制仍需进一步细化、量化。</w:t>
      </w:r>
    </w:p>
    <w:p>
      <w:pPr>
        <w:spacing w:line="560" w:lineRule="exact"/>
        <w:ind w:firstLine="640" w:firstLineChars="200"/>
        <w:rPr>
          <w:rFonts w:ascii="仿宋" w:hAnsi="仿宋" w:eastAsia="仿宋" w:cs="仿宋_GB2312"/>
          <w:kern w:val="0"/>
          <w:sz w:val="32"/>
          <w:szCs w:val="32"/>
          <w:lang w:val="zh-CN"/>
        </w:rPr>
      </w:pPr>
      <w:r>
        <w:rPr>
          <w:rFonts w:hint="eastAsia" w:ascii="仿宋" w:hAnsi="仿宋" w:eastAsia="仿宋" w:cs="仿宋_GB2312"/>
          <w:kern w:val="0"/>
          <w:sz w:val="32"/>
          <w:szCs w:val="32"/>
          <w:lang w:val="zh-CN"/>
        </w:rPr>
        <w:t>2.项目绩效目标编制的可考核性仍需提高，需要进一步反映出项目的整体产出和效果。</w:t>
      </w:r>
    </w:p>
    <w:p>
      <w:pPr>
        <w:adjustRightInd w:val="0"/>
        <w:snapToGrid w:val="0"/>
        <w:spacing w:line="560" w:lineRule="exact"/>
        <w:ind w:firstLine="642" w:firstLineChars="200"/>
        <w:rPr>
          <w:rFonts w:ascii="仿宋_GB2312" w:hAnsi="仿宋_GB2312" w:eastAsia="仿宋_GB2312" w:cs="仿宋_GB2312"/>
          <w:color w:val="FF0000"/>
          <w:sz w:val="32"/>
          <w:szCs w:val="32"/>
        </w:rPr>
      </w:pPr>
      <w:r>
        <w:rPr>
          <w:rFonts w:hint="eastAsia" w:ascii="楷体_GB2312" w:hAnsi="宋体" w:eastAsia="楷体_GB2312"/>
          <w:b/>
          <w:sz w:val="32"/>
          <w:szCs w:val="32"/>
          <w:lang w:val="zh-CN"/>
        </w:rPr>
        <w:t>（二）相关建议</w:t>
      </w:r>
    </w:p>
    <w:p>
      <w:pPr>
        <w:spacing w:line="560" w:lineRule="exact"/>
        <w:ind w:firstLine="640" w:firstLineChars="200"/>
        <w:rPr>
          <w:rFonts w:ascii="仿宋" w:hAnsi="仿宋" w:eastAsia="仿宋" w:cs="仿宋_GB2312"/>
          <w:kern w:val="0"/>
          <w:sz w:val="32"/>
          <w:szCs w:val="32"/>
          <w:lang w:val="zh-CN"/>
        </w:rPr>
      </w:pPr>
      <w:r>
        <w:rPr>
          <w:rFonts w:hint="eastAsia" w:ascii="仿宋" w:hAnsi="仿宋" w:eastAsia="仿宋" w:cs="仿宋_GB2312"/>
          <w:kern w:val="0"/>
          <w:sz w:val="32"/>
          <w:szCs w:val="32"/>
          <w:lang w:val="zh-CN"/>
        </w:rPr>
        <w:t>1.加强绩效目标编制工作。全面反映项目投入、产出、效率和效益情况。编制的目标要细化量化、规范完整且可衡量，同时加强项目效果方面目标的制定。</w:t>
      </w:r>
    </w:p>
    <w:p>
      <w:pPr>
        <w:spacing w:line="560" w:lineRule="exact"/>
        <w:ind w:firstLine="640" w:firstLineChars="200"/>
        <w:rPr>
          <w:rFonts w:ascii="仿宋" w:hAnsi="仿宋" w:eastAsia="仿宋" w:cs="仿宋_GB2312"/>
          <w:kern w:val="0"/>
          <w:sz w:val="32"/>
          <w:szCs w:val="32"/>
          <w:lang w:val="zh-CN"/>
        </w:rPr>
      </w:pPr>
      <w:r>
        <w:rPr>
          <w:rFonts w:hint="eastAsia" w:ascii="仿宋" w:hAnsi="仿宋" w:eastAsia="仿宋" w:cs="仿宋_GB2312"/>
          <w:kern w:val="0"/>
          <w:sz w:val="32"/>
          <w:szCs w:val="32"/>
          <w:lang w:val="zh-CN"/>
        </w:rPr>
        <w:t>2.加强目标编制的相关培训工作，提升编制水平；强化绩效管理理念，强化绩效目标管理的主体责任意识，规范目标编制程序，加强财务部门与业务部门之间的协作，使目标编制与预算编制有机结合，提升目标编制质量。</w:t>
      </w:r>
    </w:p>
    <w:p>
      <w:pPr>
        <w:spacing w:line="560" w:lineRule="exact"/>
        <w:ind w:firstLine="640" w:firstLineChars="200"/>
        <w:rPr>
          <w:rFonts w:ascii="仿宋" w:hAnsi="仿宋" w:eastAsia="仿宋"/>
          <w:kern w:val="0"/>
          <w:sz w:val="32"/>
          <w:szCs w:val="32"/>
          <w:lang w:val="zh-CN"/>
        </w:rPr>
      </w:pPr>
      <w:r>
        <w:rPr>
          <w:rFonts w:hint="eastAsia" w:ascii="仿宋" w:hAnsi="仿宋" w:eastAsia="仿宋" w:cs="仿宋_GB2312"/>
          <w:kern w:val="0"/>
          <w:sz w:val="32"/>
          <w:szCs w:val="32"/>
          <w:lang w:val="zh-CN"/>
        </w:rPr>
        <w:t>3.加强预算编制和执行。根据制定的绩效目标和计划进度，合理安排年度预算，预算编制应该依据充分、测算过程明确具体，提高预算编制的准确性；加强项目前期论证和准备工作，充分考虑影响项目执行的各项因素，提高预算执行进度和均衡性。</w:t>
      </w:r>
    </w:p>
    <w:p>
      <w:pPr>
        <w:adjustRightInd w:val="0"/>
        <w:snapToGrid w:val="0"/>
        <w:spacing w:line="560" w:lineRule="exact"/>
        <w:ind w:firstLine="720"/>
        <w:rPr>
          <w:rFonts w:ascii="黑体" w:hAnsi="宋体" w:eastAsia="黑体"/>
          <w:sz w:val="32"/>
          <w:szCs w:val="32"/>
        </w:rPr>
      </w:pPr>
    </w:p>
    <w:p>
      <w:pPr>
        <w:adjustRightInd w:val="0"/>
        <w:snapToGrid w:val="0"/>
        <w:spacing w:line="560" w:lineRule="exact"/>
        <w:ind w:firstLine="720"/>
        <w:rPr>
          <w:rFonts w:ascii="黑体" w:hAnsi="宋体" w:eastAsia="黑体"/>
          <w:sz w:val="32"/>
          <w:szCs w:val="32"/>
        </w:rPr>
      </w:pPr>
    </w:p>
    <w:p>
      <w:pPr>
        <w:adjustRightInd w:val="0"/>
        <w:snapToGrid w:val="0"/>
        <w:spacing w:line="600" w:lineRule="exact"/>
        <w:ind w:firstLine="720"/>
        <w:rPr>
          <w:rFonts w:ascii="黑体" w:hAnsi="宋体" w:eastAsia="黑体"/>
          <w:sz w:val="32"/>
          <w:szCs w:val="32"/>
        </w:rPr>
      </w:pPr>
    </w:p>
    <w:p>
      <w:pPr>
        <w:adjustRightInd w:val="0"/>
        <w:snapToGrid w:val="0"/>
        <w:spacing w:line="600" w:lineRule="exact"/>
        <w:ind w:firstLine="720"/>
        <w:rPr>
          <w:rFonts w:ascii="黑体" w:hAnsi="宋体" w:eastAsia="黑体"/>
          <w:sz w:val="32"/>
          <w:szCs w:val="32"/>
        </w:rPr>
      </w:pPr>
    </w:p>
    <w:p>
      <w:pPr>
        <w:adjustRightInd w:val="0"/>
        <w:snapToGrid w:val="0"/>
        <w:spacing w:line="600" w:lineRule="exact"/>
        <w:ind w:firstLine="720"/>
        <w:rPr>
          <w:rFonts w:ascii="黑体" w:hAnsi="宋体" w:eastAsia="黑体"/>
          <w:sz w:val="32"/>
          <w:szCs w:val="32"/>
        </w:rPr>
      </w:pPr>
    </w:p>
    <w:bookmarkEnd w:id="50"/>
    <w:p>
      <w:pPr>
        <w:spacing w:line="600" w:lineRule="exact"/>
        <w:jc w:val="center"/>
        <w:outlineLvl w:val="0"/>
        <w:rPr>
          <w:rFonts w:ascii="方正小标宋简体" w:hAnsi="方正小标宋简体" w:eastAsia="方正小标宋简体" w:cs="方正小标宋简体"/>
          <w:color w:val="000000"/>
          <w:sz w:val="44"/>
          <w:szCs w:val="44"/>
        </w:rPr>
      </w:pPr>
      <w:bookmarkStart w:id="51" w:name="_Toc15396618"/>
    </w:p>
    <w:p>
      <w:pPr>
        <w:spacing w:line="600" w:lineRule="exact"/>
        <w:jc w:val="center"/>
        <w:outlineLvl w:val="0"/>
        <w:rPr>
          <w:rFonts w:ascii="方正小标宋简体" w:hAnsi="方正小标宋简体" w:eastAsia="方正小标宋简体" w:cs="方正小标宋简体"/>
          <w:color w:val="000000"/>
          <w:sz w:val="44"/>
          <w:szCs w:val="44"/>
        </w:rPr>
      </w:pPr>
    </w:p>
    <w:p>
      <w:pPr>
        <w:spacing w:line="600" w:lineRule="exact"/>
        <w:jc w:val="center"/>
        <w:outlineLvl w:val="0"/>
        <w:rPr>
          <w:rFonts w:ascii="方正小标宋简体" w:hAnsi="方正小标宋简体" w:eastAsia="方正小标宋简体" w:cs="方正小标宋简体"/>
          <w:color w:val="000000"/>
          <w:sz w:val="44"/>
          <w:szCs w:val="44"/>
        </w:rPr>
      </w:pPr>
    </w:p>
    <w:p>
      <w:pPr>
        <w:spacing w:line="600" w:lineRule="exact"/>
        <w:jc w:val="center"/>
        <w:outlineLvl w:val="0"/>
        <w:rPr>
          <w:rFonts w:ascii="方正小标宋简体" w:hAnsi="方正小标宋简体" w:eastAsia="方正小标宋简体" w:cs="方正小标宋简体"/>
          <w:color w:val="000000"/>
          <w:sz w:val="44"/>
          <w:szCs w:val="44"/>
        </w:rPr>
      </w:pPr>
    </w:p>
    <w:p>
      <w:pPr>
        <w:spacing w:line="600" w:lineRule="exact"/>
        <w:jc w:val="center"/>
        <w:outlineLvl w:val="0"/>
        <w:rPr>
          <w:rFonts w:ascii="方正小标宋简体" w:hAnsi="方正小标宋简体" w:eastAsia="方正小标宋简体" w:cs="方正小标宋简体"/>
          <w:color w:val="000000"/>
          <w:sz w:val="44"/>
          <w:szCs w:val="44"/>
        </w:rPr>
      </w:pPr>
    </w:p>
    <w:p>
      <w:pPr>
        <w:spacing w:line="600" w:lineRule="exact"/>
        <w:jc w:val="center"/>
        <w:outlineLvl w:val="0"/>
        <w:rPr>
          <w:rFonts w:ascii="方正小标宋简体" w:hAnsi="方正小标宋简体" w:eastAsia="方正小标宋简体" w:cs="方正小标宋简体"/>
          <w:color w:val="000000"/>
          <w:sz w:val="44"/>
          <w:szCs w:val="44"/>
        </w:rPr>
      </w:pPr>
    </w:p>
    <w:p>
      <w:pPr>
        <w:spacing w:line="600" w:lineRule="exact"/>
        <w:jc w:val="center"/>
        <w:outlineLvl w:val="0"/>
        <w:rPr>
          <w:rFonts w:ascii="方正小标宋简体" w:hAnsi="方正小标宋简体" w:eastAsia="方正小标宋简体" w:cs="方正小标宋简体"/>
          <w:color w:val="000000"/>
          <w:sz w:val="44"/>
          <w:szCs w:val="44"/>
        </w:rPr>
      </w:pPr>
    </w:p>
    <w:p>
      <w:pPr>
        <w:spacing w:line="600" w:lineRule="exact"/>
        <w:jc w:val="center"/>
        <w:outlineLvl w:val="0"/>
        <w:rPr>
          <w:rStyle w:val="24"/>
          <w:rFonts w:ascii="方正小标宋简体" w:hAnsi="方正小标宋简体" w:eastAsia="方正小标宋简体" w:cs="方正小标宋简体"/>
          <w:b w:val="0"/>
        </w:rPr>
      </w:pPr>
      <w:r>
        <w:rPr>
          <w:rFonts w:hint="eastAsia" w:ascii="方正小标宋简体" w:hAnsi="方正小标宋简体" w:eastAsia="方正小标宋简体" w:cs="方正小标宋简体"/>
          <w:color w:val="000000"/>
          <w:sz w:val="44"/>
          <w:szCs w:val="44"/>
        </w:rPr>
        <w:t>第</w:t>
      </w:r>
      <w:r>
        <w:rPr>
          <w:rStyle w:val="24"/>
          <w:rFonts w:hint="eastAsia" w:ascii="方正小标宋简体" w:hAnsi="方正小标宋简体" w:eastAsia="方正小标宋简体" w:cs="方正小标宋简体"/>
          <w:b w:val="0"/>
        </w:rPr>
        <w:t>五部分 附表</w:t>
      </w:r>
      <w:bookmarkEnd w:id="51"/>
      <w:bookmarkStart w:id="52" w:name="_Toc15396619"/>
    </w:p>
    <w:p>
      <w:pPr>
        <w:spacing w:line="600" w:lineRule="exact"/>
        <w:jc w:val="center"/>
        <w:outlineLvl w:val="0"/>
        <w:rPr>
          <w:rFonts w:ascii="方正小标宋简体" w:hAnsi="方正小标宋简体" w:eastAsia="方正小标宋简体" w:cs="方正小标宋简体"/>
          <w:color w:val="000000"/>
          <w:sz w:val="44"/>
          <w:szCs w:val="44"/>
        </w:rPr>
      </w:pPr>
    </w:p>
    <w:p>
      <w:pPr>
        <w:pStyle w:val="3"/>
        <w:spacing w:line="560" w:lineRule="exact"/>
        <w:rPr>
          <w:rFonts w:ascii="仿宋" w:hAnsi="仿宋" w:eastAsia="仿宋" w:cs="仿宋_GB2312"/>
          <w:color w:val="000000"/>
        </w:rPr>
      </w:pPr>
      <w:r>
        <w:rPr>
          <w:rFonts w:hint="eastAsia" w:ascii="仿宋" w:hAnsi="仿宋" w:eastAsia="仿宋" w:cs="仿宋_GB2312"/>
          <w:b w:val="0"/>
          <w:color w:val="000000"/>
        </w:rPr>
        <w:t>一、收</w:t>
      </w:r>
      <w:r>
        <w:rPr>
          <w:rStyle w:val="25"/>
          <w:rFonts w:hint="eastAsia" w:ascii="仿宋" w:hAnsi="仿宋" w:eastAsia="仿宋" w:cs="仿宋_GB2312"/>
          <w:b w:val="0"/>
          <w:bCs w:val="0"/>
        </w:rPr>
        <w:t>入支出决算总表</w:t>
      </w:r>
      <w:bookmarkEnd w:id="52"/>
    </w:p>
    <w:p>
      <w:pPr>
        <w:pStyle w:val="3"/>
        <w:spacing w:line="560" w:lineRule="exact"/>
        <w:rPr>
          <w:rFonts w:ascii="仿宋" w:hAnsi="仿宋" w:eastAsia="仿宋" w:cs="仿宋_GB2312"/>
          <w:color w:val="000000"/>
        </w:rPr>
      </w:pPr>
      <w:bookmarkStart w:id="53" w:name="_Toc15396620"/>
      <w:r>
        <w:rPr>
          <w:rFonts w:hint="eastAsia" w:ascii="仿宋" w:hAnsi="仿宋" w:eastAsia="仿宋" w:cs="仿宋_GB2312"/>
          <w:b w:val="0"/>
          <w:color w:val="000000"/>
        </w:rPr>
        <w:t>二、收</w:t>
      </w:r>
      <w:r>
        <w:rPr>
          <w:rStyle w:val="25"/>
          <w:rFonts w:hint="eastAsia" w:ascii="仿宋" w:hAnsi="仿宋" w:eastAsia="仿宋" w:cs="仿宋_GB2312"/>
          <w:b w:val="0"/>
          <w:bCs w:val="0"/>
        </w:rPr>
        <w:t>入决算表</w:t>
      </w:r>
      <w:bookmarkEnd w:id="53"/>
    </w:p>
    <w:p>
      <w:pPr>
        <w:pStyle w:val="3"/>
        <w:spacing w:line="560" w:lineRule="exact"/>
        <w:rPr>
          <w:rFonts w:ascii="仿宋" w:hAnsi="仿宋" w:eastAsia="仿宋" w:cs="仿宋_GB2312"/>
          <w:color w:val="000000"/>
        </w:rPr>
      </w:pPr>
      <w:bookmarkStart w:id="54" w:name="_Toc15396621"/>
      <w:r>
        <w:rPr>
          <w:rStyle w:val="25"/>
          <w:rFonts w:hint="eastAsia" w:ascii="仿宋" w:hAnsi="仿宋" w:eastAsia="仿宋" w:cs="仿宋_GB2312"/>
          <w:b w:val="0"/>
          <w:bCs w:val="0"/>
        </w:rPr>
        <w:t>三、</w:t>
      </w:r>
      <w:r>
        <w:rPr>
          <w:rFonts w:hint="eastAsia" w:ascii="仿宋" w:hAnsi="仿宋" w:eastAsia="仿宋" w:cs="仿宋_GB2312"/>
          <w:b w:val="0"/>
          <w:color w:val="000000"/>
        </w:rPr>
        <w:t>支</w:t>
      </w:r>
      <w:r>
        <w:rPr>
          <w:rStyle w:val="25"/>
          <w:rFonts w:hint="eastAsia" w:ascii="仿宋" w:hAnsi="仿宋" w:eastAsia="仿宋" w:cs="仿宋_GB2312"/>
          <w:b w:val="0"/>
          <w:bCs w:val="0"/>
        </w:rPr>
        <w:t>出决算表</w:t>
      </w:r>
      <w:bookmarkEnd w:id="54"/>
    </w:p>
    <w:p>
      <w:pPr>
        <w:pStyle w:val="3"/>
        <w:spacing w:line="560" w:lineRule="exact"/>
        <w:rPr>
          <w:rFonts w:ascii="仿宋" w:hAnsi="仿宋" w:eastAsia="仿宋" w:cs="仿宋_GB2312"/>
          <w:b w:val="0"/>
          <w:color w:val="000000"/>
        </w:rPr>
      </w:pPr>
      <w:bookmarkStart w:id="55" w:name="_Toc15396622"/>
      <w:r>
        <w:rPr>
          <w:rStyle w:val="25"/>
          <w:rFonts w:hint="eastAsia" w:ascii="仿宋" w:hAnsi="仿宋" w:eastAsia="仿宋" w:cs="仿宋_GB2312"/>
          <w:b w:val="0"/>
          <w:bCs w:val="0"/>
        </w:rPr>
        <w:t>四、</w:t>
      </w:r>
      <w:r>
        <w:rPr>
          <w:rFonts w:hint="eastAsia" w:ascii="仿宋" w:hAnsi="仿宋" w:eastAsia="仿宋" w:cs="仿宋_GB2312"/>
          <w:b w:val="0"/>
          <w:color w:val="000000"/>
        </w:rPr>
        <w:t>财</w:t>
      </w:r>
      <w:r>
        <w:rPr>
          <w:rStyle w:val="25"/>
          <w:rFonts w:hint="eastAsia" w:ascii="仿宋" w:hAnsi="仿宋" w:eastAsia="仿宋" w:cs="仿宋_GB2312"/>
          <w:b w:val="0"/>
          <w:bCs w:val="0"/>
        </w:rPr>
        <w:t>政拨款收入支出决算总表</w:t>
      </w:r>
      <w:bookmarkEnd w:id="55"/>
    </w:p>
    <w:p>
      <w:pPr>
        <w:pStyle w:val="3"/>
        <w:spacing w:line="560" w:lineRule="exact"/>
        <w:rPr>
          <w:rStyle w:val="25"/>
          <w:rFonts w:ascii="仿宋" w:hAnsi="仿宋" w:eastAsia="仿宋" w:cs="仿宋_GB2312"/>
          <w:b w:val="0"/>
          <w:bCs w:val="0"/>
        </w:rPr>
      </w:pPr>
      <w:bookmarkStart w:id="56" w:name="_Toc15396623"/>
      <w:r>
        <w:rPr>
          <w:rStyle w:val="25"/>
          <w:rFonts w:hint="eastAsia" w:ascii="仿宋" w:hAnsi="仿宋" w:eastAsia="仿宋" w:cs="仿宋_GB2312"/>
          <w:b w:val="0"/>
          <w:bCs w:val="0"/>
        </w:rPr>
        <w:t>五、</w:t>
      </w:r>
      <w:r>
        <w:rPr>
          <w:rFonts w:hint="eastAsia" w:ascii="仿宋" w:hAnsi="仿宋" w:eastAsia="仿宋" w:cs="仿宋_GB2312"/>
          <w:b w:val="0"/>
          <w:color w:val="000000"/>
        </w:rPr>
        <w:t>财</w:t>
      </w:r>
      <w:r>
        <w:rPr>
          <w:rStyle w:val="25"/>
          <w:rFonts w:hint="eastAsia" w:ascii="仿宋" w:hAnsi="仿宋" w:eastAsia="仿宋" w:cs="仿宋_GB2312"/>
          <w:b w:val="0"/>
          <w:bCs w:val="0"/>
        </w:rPr>
        <w:t>政拨款支出决算明细表</w:t>
      </w:r>
      <w:bookmarkEnd w:id="56"/>
      <w:bookmarkStart w:id="57" w:name="_Toc15396624"/>
    </w:p>
    <w:p>
      <w:pPr>
        <w:pStyle w:val="3"/>
        <w:spacing w:line="560" w:lineRule="exact"/>
        <w:rPr>
          <w:rFonts w:ascii="仿宋" w:hAnsi="仿宋" w:eastAsia="仿宋" w:cs="仿宋_GB2312"/>
          <w:color w:val="000000"/>
        </w:rPr>
      </w:pPr>
      <w:r>
        <w:rPr>
          <w:rStyle w:val="25"/>
          <w:rFonts w:hint="eastAsia" w:ascii="仿宋" w:hAnsi="仿宋" w:eastAsia="仿宋" w:cs="仿宋_GB2312"/>
          <w:b w:val="0"/>
          <w:bCs w:val="0"/>
        </w:rPr>
        <w:t>六、</w:t>
      </w:r>
      <w:r>
        <w:rPr>
          <w:rFonts w:hint="eastAsia" w:ascii="仿宋" w:hAnsi="仿宋" w:eastAsia="仿宋" w:cs="仿宋_GB2312"/>
          <w:b w:val="0"/>
          <w:color w:val="000000"/>
        </w:rPr>
        <w:t>一</w:t>
      </w:r>
      <w:r>
        <w:rPr>
          <w:rStyle w:val="25"/>
          <w:rFonts w:hint="eastAsia" w:ascii="仿宋" w:hAnsi="仿宋" w:eastAsia="仿宋" w:cs="仿宋_GB2312"/>
          <w:b w:val="0"/>
          <w:bCs w:val="0"/>
        </w:rPr>
        <w:t>般公共预算财政拨款支出决算表</w:t>
      </w:r>
      <w:bookmarkEnd w:id="57"/>
    </w:p>
    <w:p>
      <w:pPr>
        <w:pStyle w:val="3"/>
        <w:spacing w:line="560" w:lineRule="exact"/>
        <w:rPr>
          <w:rFonts w:ascii="仿宋" w:hAnsi="仿宋" w:eastAsia="仿宋" w:cs="仿宋_GB2312"/>
          <w:color w:val="000000"/>
        </w:rPr>
      </w:pPr>
      <w:bookmarkStart w:id="58" w:name="_Toc15396625"/>
      <w:r>
        <w:rPr>
          <w:rStyle w:val="25"/>
          <w:rFonts w:hint="eastAsia" w:ascii="仿宋" w:hAnsi="仿宋" w:eastAsia="仿宋" w:cs="仿宋_GB2312"/>
          <w:b w:val="0"/>
          <w:bCs w:val="0"/>
        </w:rPr>
        <w:t>七、</w:t>
      </w:r>
      <w:r>
        <w:rPr>
          <w:rFonts w:hint="eastAsia" w:ascii="仿宋" w:hAnsi="仿宋" w:eastAsia="仿宋" w:cs="仿宋_GB2312"/>
          <w:b w:val="0"/>
          <w:color w:val="000000"/>
        </w:rPr>
        <w:t>一</w:t>
      </w:r>
      <w:r>
        <w:rPr>
          <w:rStyle w:val="25"/>
          <w:rFonts w:hint="eastAsia" w:ascii="仿宋" w:hAnsi="仿宋" w:eastAsia="仿宋" w:cs="仿宋_GB2312"/>
          <w:b w:val="0"/>
          <w:bCs w:val="0"/>
        </w:rPr>
        <w:t>般公共预算财政拨款支出决算明细表</w:t>
      </w:r>
      <w:bookmarkEnd w:id="58"/>
    </w:p>
    <w:p>
      <w:pPr>
        <w:pStyle w:val="3"/>
        <w:spacing w:line="560" w:lineRule="exact"/>
        <w:rPr>
          <w:rFonts w:ascii="仿宋" w:hAnsi="仿宋" w:eastAsia="仿宋" w:cs="仿宋_GB2312"/>
          <w:color w:val="000000"/>
        </w:rPr>
      </w:pPr>
      <w:bookmarkStart w:id="59" w:name="_Toc15396626"/>
      <w:r>
        <w:rPr>
          <w:rStyle w:val="25"/>
          <w:rFonts w:hint="eastAsia" w:ascii="仿宋" w:hAnsi="仿宋" w:eastAsia="仿宋" w:cs="仿宋_GB2312"/>
          <w:b w:val="0"/>
          <w:bCs w:val="0"/>
        </w:rPr>
        <w:t>八、</w:t>
      </w:r>
      <w:r>
        <w:rPr>
          <w:rFonts w:hint="eastAsia" w:ascii="仿宋" w:hAnsi="仿宋" w:eastAsia="仿宋" w:cs="仿宋_GB2312"/>
          <w:b w:val="0"/>
          <w:color w:val="000000"/>
        </w:rPr>
        <w:t>一</w:t>
      </w:r>
      <w:r>
        <w:rPr>
          <w:rStyle w:val="25"/>
          <w:rFonts w:hint="eastAsia" w:ascii="仿宋" w:hAnsi="仿宋" w:eastAsia="仿宋" w:cs="仿宋_GB2312"/>
          <w:b w:val="0"/>
          <w:bCs w:val="0"/>
        </w:rPr>
        <w:t>般公共预算财政拨款基本支出决算表</w:t>
      </w:r>
      <w:bookmarkEnd w:id="59"/>
    </w:p>
    <w:p>
      <w:pPr>
        <w:pStyle w:val="3"/>
        <w:spacing w:line="560" w:lineRule="exact"/>
        <w:rPr>
          <w:rFonts w:ascii="仿宋" w:hAnsi="仿宋" w:eastAsia="仿宋" w:cs="仿宋_GB2312"/>
          <w:color w:val="000000"/>
        </w:rPr>
      </w:pPr>
      <w:bookmarkStart w:id="60" w:name="_Toc15396627"/>
      <w:r>
        <w:rPr>
          <w:rStyle w:val="25"/>
          <w:rFonts w:hint="eastAsia" w:ascii="仿宋" w:hAnsi="仿宋" w:eastAsia="仿宋" w:cs="仿宋_GB2312"/>
          <w:b w:val="0"/>
          <w:bCs w:val="0"/>
        </w:rPr>
        <w:t>九、</w:t>
      </w:r>
      <w:r>
        <w:rPr>
          <w:rFonts w:hint="eastAsia" w:ascii="仿宋" w:hAnsi="仿宋" w:eastAsia="仿宋" w:cs="仿宋_GB2312"/>
          <w:b w:val="0"/>
          <w:color w:val="000000"/>
        </w:rPr>
        <w:t>一</w:t>
      </w:r>
      <w:r>
        <w:rPr>
          <w:rStyle w:val="25"/>
          <w:rFonts w:hint="eastAsia" w:ascii="仿宋" w:hAnsi="仿宋" w:eastAsia="仿宋" w:cs="仿宋_GB2312"/>
          <w:b w:val="0"/>
          <w:bCs w:val="0"/>
        </w:rPr>
        <w:t>般公共预算财政拨款项目支出决算表</w:t>
      </w:r>
      <w:bookmarkEnd w:id="60"/>
    </w:p>
    <w:p>
      <w:pPr>
        <w:pStyle w:val="3"/>
        <w:spacing w:line="560" w:lineRule="exact"/>
        <w:rPr>
          <w:rFonts w:ascii="仿宋" w:hAnsi="仿宋" w:eastAsia="仿宋" w:cs="仿宋_GB2312"/>
          <w:color w:val="000000"/>
        </w:rPr>
      </w:pPr>
      <w:bookmarkStart w:id="61" w:name="_Toc15396628"/>
      <w:r>
        <w:rPr>
          <w:rStyle w:val="25"/>
          <w:rFonts w:hint="eastAsia" w:ascii="仿宋" w:hAnsi="仿宋" w:eastAsia="仿宋" w:cs="仿宋_GB2312"/>
          <w:b w:val="0"/>
          <w:bCs w:val="0"/>
        </w:rPr>
        <w:t>十、</w:t>
      </w:r>
      <w:r>
        <w:rPr>
          <w:rFonts w:hint="eastAsia" w:ascii="仿宋" w:hAnsi="仿宋" w:eastAsia="仿宋" w:cs="仿宋_GB2312"/>
          <w:b w:val="0"/>
          <w:color w:val="000000"/>
        </w:rPr>
        <w:t>一</w:t>
      </w:r>
      <w:r>
        <w:rPr>
          <w:rStyle w:val="25"/>
          <w:rFonts w:hint="eastAsia" w:ascii="仿宋" w:hAnsi="仿宋" w:eastAsia="仿宋" w:cs="仿宋_GB2312"/>
          <w:b w:val="0"/>
          <w:bCs w:val="0"/>
        </w:rPr>
        <w:t>般公共预算财政拨款“三公”经费支出决算表</w:t>
      </w:r>
      <w:bookmarkEnd w:id="61"/>
    </w:p>
    <w:p>
      <w:pPr>
        <w:pStyle w:val="3"/>
        <w:spacing w:line="560" w:lineRule="exact"/>
        <w:rPr>
          <w:rFonts w:ascii="仿宋" w:hAnsi="仿宋" w:eastAsia="仿宋" w:cs="仿宋_GB2312"/>
          <w:color w:val="000000"/>
        </w:rPr>
      </w:pPr>
      <w:bookmarkStart w:id="62" w:name="_Toc15396629"/>
      <w:r>
        <w:rPr>
          <w:rStyle w:val="25"/>
          <w:rFonts w:hint="eastAsia" w:ascii="仿宋" w:hAnsi="仿宋" w:eastAsia="仿宋" w:cs="仿宋_GB2312"/>
          <w:b w:val="0"/>
          <w:bCs w:val="0"/>
        </w:rPr>
        <w:t>十一、</w:t>
      </w:r>
      <w:r>
        <w:rPr>
          <w:rFonts w:hint="eastAsia" w:ascii="仿宋" w:hAnsi="仿宋" w:eastAsia="仿宋" w:cs="仿宋_GB2312"/>
          <w:b w:val="0"/>
          <w:color w:val="000000"/>
        </w:rPr>
        <w:t>政</w:t>
      </w:r>
      <w:r>
        <w:rPr>
          <w:rStyle w:val="25"/>
          <w:rFonts w:hint="eastAsia" w:ascii="仿宋" w:hAnsi="仿宋" w:eastAsia="仿宋" w:cs="仿宋_GB2312"/>
          <w:b w:val="0"/>
          <w:bCs w:val="0"/>
        </w:rPr>
        <w:t>府性基金预算财政拨款收入支出决算表</w:t>
      </w:r>
      <w:bookmarkEnd w:id="62"/>
    </w:p>
    <w:p>
      <w:pPr>
        <w:pStyle w:val="3"/>
        <w:spacing w:line="560" w:lineRule="exact"/>
        <w:rPr>
          <w:rFonts w:ascii="仿宋" w:hAnsi="仿宋" w:eastAsia="仿宋" w:cs="仿宋_GB2312"/>
          <w:color w:val="000000"/>
        </w:rPr>
      </w:pPr>
      <w:bookmarkStart w:id="63" w:name="_Toc15396630"/>
      <w:r>
        <w:rPr>
          <w:rStyle w:val="25"/>
          <w:rFonts w:hint="eastAsia" w:ascii="仿宋" w:hAnsi="仿宋" w:eastAsia="仿宋" w:cs="仿宋_GB2312"/>
          <w:b w:val="0"/>
          <w:bCs w:val="0"/>
        </w:rPr>
        <w:t>十二、</w:t>
      </w:r>
      <w:r>
        <w:rPr>
          <w:rFonts w:hint="eastAsia" w:ascii="仿宋" w:hAnsi="仿宋" w:eastAsia="仿宋" w:cs="仿宋_GB2312"/>
          <w:b w:val="0"/>
          <w:color w:val="000000"/>
        </w:rPr>
        <w:t>政</w:t>
      </w:r>
      <w:r>
        <w:rPr>
          <w:rStyle w:val="25"/>
          <w:rFonts w:hint="eastAsia" w:ascii="仿宋" w:hAnsi="仿宋" w:eastAsia="仿宋" w:cs="仿宋_GB2312"/>
          <w:b w:val="0"/>
          <w:bCs w:val="0"/>
        </w:rPr>
        <w:t>府性基金预算财政拨款“三公”经费支出决算表</w:t>
      </w:r>
      <w:bookmarkEnd w:id="63"/>
    </w:p>
    <w:p>
      <w:pPr>
        <w:pStyle w:val="3"/>
        <w:spacing w:line="560" w:lineRule="exact"/>
        <w:rPr>
          <w:rStyle w:val="25"/>
          <w:rFonts w:ascii="仿宋" w:hAnsi="仿宋" w:eastAsia="仿宋" w:cs="仿宋_GB2312"/>
          <w:b w:val="0"/>
          <w:bCs w:val="0"/>
        </w:rPr>
      </w:pPr>
      <w:bookmarkStart w:id="64" w:name="_Toc15396631"/>
      <w:r>
        <w:rPr>
          <w:rStyle w:val="25"/>
          <w:rFonts w:hint="eastAsia" w:ascii="仿宋" w:hAnsi="仿宋" w:eastAsia="仿宋" w:cs="仿宋_GB2312"/>
          <w:b w:val="0"/>
          <w:bCs w:val="0"/>
        </w:rPr>
        <w:t>十三、</w:t>
      </w:r>
      <w:r>
        <w:rPr>
          <w:rFonts w:hint="eastAsia" w:ascii="仿宋" w:hAnsi="仿宋" w:eastAsia="仿宋" w:cs="仿宋_GB2312"/>
          <w:b w:val="0"/>
          <w:color w:val="000000"/>
        </w:rPr>
        <w:t>国</w:t>
      </w:r>
      <w:r>
        <w:rPr>
          <w:rStyle w:val="25"/>
          <w:rFonts w:hint="eastAsia" w:ascii="仿宋" w:hAnsi="仿宋" w:eastAsia="仿宋" w:cs="仿宋_GB2312"/>
          <w:b w:val="0"/>
          <w:bCs w:val="0"/>
        </w:rPr>
        <w:t>有资本经营预算财政拨款收入支出决算表</w:t>
      </w:r>
      <w:bookmarkEnd w:id="64"/>
    </w:p>
    <w:p>
      <w:pPr>
        <w:spacing w:line="560" w:lineRule="exact"/>
        <w:rPr>
          <w:rFonts w:ascii="仿宋" w:hAnsi="仿宋" w:eastAsia="仿宋" w:cs="仿宋_GB2312"/>
          <w:sz w:val="32"/>
          <w:szCs w:val="32"/>
        </w:rPr>
      </w:pPr>
      <w:r>
        <w:rPr>
          <w:rStyle w:val="25"/>
          <w:rFonts w:hint="eastAsia" w:ascii="仿宋" w:hAnsi="仿宋" w:eastAsia="仿宋" w:cs="仿宋_GB2312"/>
          <w:b w:val="0"/>
          <w:bCs w:val="0"/>
        </w:rPr>
        <w:t>十四、国有资本经营预算财政拨款支出决算表</w:t>
      </w:r>
    </w:p>
    <w:p>
      <w:pPr>
        <w:spacing w:line="600" w:lineRule="exact"/>
        <w:jc w:val="center"/>
        <w:outlineLvl w:val="0"/>
        <w:rPr>
          <w:rFonts w:ascii="仿宋" w:hAnsi="仿宋" w:eastAsia="仿宋"/>
        </w:rPr>
      </w:pPr>
    </w:p>
    <w:sectPr>
      <w:headerReference r:id="rId3" w:type="default"/>
      <w:footerReference r:id="rId4" w:type="default"/>
      <w:pgSz w:w="11906" w:h="16838"/>
      <w:pgMar w:top="1531" w:right="1418" w:bottom="1531" w:left="1418"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6</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6CDE"/>
    <w:rsid w:val="000134C9"/>
    <w:rsid w:val="000222C6"/>
    <w:rsid w:val="0002549F"/>
    <w:rsid w:val="00033924"/>
    <w:rsid w:val="00037BFC"/>
    <w:rsid w:val="00043A2F"/>
    <w:rsid w:val="000468DB"/>
    <w:rsid w:val="00046E23"/>
    <w:rsid w:val="0006487A"/>
    <w:rsid w:val="00065F8F"/>
    <w:rsid w:val="00070A43"/>
    <w:rsid w:val="000768F2"/>
    <w:rsid w:val="0008763B"/>
    <w:rsid w:val="0009184B"/>
    <w:rsid w:val="00094236"/>
    <w:rsid w:val="0009593C"/>
    <w:rsid w:val="00097322"/>
    <w:rsid w:val="000A5D70"/>
    <w:rsid w:val="000A6A92"/>
    <w:rsid w:val="000B047F"/>
    <w:rsid w:val="000B5923"/>
    <w:rsid w:val="000B5A48"/>
    <w:rsid w:val="000B6FF3"/>
    <w:rsid w:val="000C0C80"/>
    <w:rsid w:val="000C3467"/>
    <w:rsid w:val="000C3CA6"/>
    <w:rsid w:val="000D1267"/>
    <w:rsid w:val="000D1D50"/>
    <w:rsid w:val="000D2627"/>
    <w:rsid w:val="000D5782"/>
    <w:rsid w:val="000E6613"/>
    <w:rsid w:val="000E7119"/>
    <w:rsid w:val="000F16A4"/>
    <w:rsid w:val="00114E9B"/>
    <w:rsid w:val="00121DA5"/>
    <w:rsid w:val="00133B73"/>
    <w:rsid w:val="00133B9D"/>
    <w:rsid w:val="00142216"/>
    <w:rsid w:val="00144D6A"/>
    <w:rsid w:val="0014655F"/>
    <w:rsid w:val="0014729F"/>
    <w:rsid w:val="001550B7"/>
    <w:rsid w:val="00157BAB"/>
    <w:rsid w:val="00161C44"/>
    <w:rsid w:val="00164C6B"/>
    <w:rsid w:val="001654D1"/>
    <w:rsid w:val="00174518"/>
    <w:rsid w:val="0018106D"/>
    <w:rsid w:val="00181DBD"/>
    <w:rsid w:val="001877A7"/>
    <w:rsid w:val="00191536"/>
    <w:rsid w:val="00196687"/>
    <w:rsid w:val="001A3A45"/>
    <w:rsid w:val="001C0962"/>
    <w:rsid w:val="001C1C12"/>
    <w:rsid w:val="001D7531"/>
    <w:rsid w:val="001E737D"/>
    <w:rsid w:val="001F0592"/>
    <w:rsid w:val="001F385E"/>
    <w:rsid w:val="001F7506"/>
    <w:rsid w:val="002006CD"/>
    <w:rsid w:val="002025DE"/>
    <w:rsid w:val="00202B36"/>
    <w:rsid w:val="00204B7A"/>
    <w:rsid w:val="00204CDE"/>
    <w:rsid w:val="00206BD2"/>
    <w:rsid w:val="0021101A"/>
    <w:rsid w:val="00220536"/>
    <w:rsid w:val="002217EE"/>
    <w:rsid w:val="0022378C"/>
    <w:rsid w:val="002351E6"/>
    <w:rsid w:val="00235629"/>
    <w:rsid w:val="002404BE"/>
    <w:rsid w:val="00240B59"/>
    <w:rsid w:val="00242835"/>
    <w:rsid w:val="00247186"/>
    <w:rsid w:val="00252EE8"/>
    <w:rsid w:val="00255ED0"/>
    <w:rsid w:val="00256C1D"/>
    <w:rsid w:val="00260C38"/>
    <w:rsid w:val="002616C0"/>
    <w:rsid w:val="00265372"/>
    <w:rsid w:val="002662AA"/>
    <w:rsid w:val="002759EF"/>
    <w:rsid w:val="00280496"/>
    <w:rsid w:val="00281748"/>
    <w:rsid w:val="00294DC9"/>
    <w:rsid w:val="00295495"/>
    <w:rsid w:val="002A31DE"/>
    <w:rsid w:val="002B2613"/>
    <w:rsid w:val="002D49A9"/>
    <w:rsid w:val="002D6D05"/>
    <w:rsid w:val="002E4C99"/>
    <w:rsid w:val="002F1818"/>
    <w:rsid w:val="002F2114"/>
    <w:rsid w:val="002F567B"/>
    <w:rsid w:val="00311C7A"/>
    <w:rsid w:val="00313355"/>
    <w:rsid w:val="00314D13"/>
    <w:rsid w:val="003216A9"/>
    <w:rsid w:val="00333AE9"/>
    <w:rsid w:val="00335A74"/>
    <w:rsid w:val="00350B63"/>
    <w:rsid w:val="00351921"/>
    <w:rsid w:val="0036561B"/>
    <w:rsid w:val="0037013F"/>
    <w:rsid w:val="0037776D"/>
    <w:rsid w:val="00380C92"/>
    <w:rsid w:val="00381ABC"/>
    <w:rsid w:val="0038394F"/>
    <w:rsid w:val="00392CFA"/>
    <w:rsid w:val="00397076"/>
    <w:rsid w:val="003A461A"/>
    <w:rsid w:val="003A484F"/>
    <w:rsid w:val="003A4883"/>
    <w:rsid w:val="003B0BE0"/>
    <w:rsid w:val="003B0C1B"/>
    <w:rsid w:val="003B5CF4"/>
    <w:rsid w:val="003B688C"/>
    <w:rsid w:val="003C0291"/>
    <w:rsid w:val="003C39AE"/>
    <w:rsid w:val="003C7B60"/>
    <w:rsid w:val="003C7CB7"/>
    <w:rsid w:val="003D0112"/>
    <w:rsid w:val="003D0C0F"/>
    <w:rsid w:val="003D1FB2"/>
    <w:rsid w:val="003D295C"/>
    <w:rsid w:val="003D5E4E"/>
    <w:rsid w:val="003D66DA"/>
    <w:rsid w:val="003E1310"/>
    <w:rsid w:val="003E56A9"/>
    <w:rsid w:val="003E6F55"/>
    <w:rsid w:val="003E783A"/>
    <w:rsid w:val="00400E4F"/>
    <w:rsid w:val="00406254"/>
    <w:rsid w:val="004148C3"/>
    <w:rsid w:val="004223DE"/>
    <w:rsid w:val="00424ACC"/>
    <w:rsid w:val="00425296"/>
    <w:rsid w:val="00431372"/>
    <w:rsid w:val="00434489"/>
    <w:rsid w:val="00437085"/>
    <w:rsid w:val="00443880"/>
    <w:rsid w:val="00444F77"/>
    <w:rsid w:val="004464F4"/>
    <w:rsid w:val="00455DF9"/>
    <w:rsid w:val="00471401"/>
    <w:rsid w:val="00473F31"/>
    <w:rsid w:val="0048263A"/>
    <w:rsid w:val="00487E5D"/>
    <w:rsid w:val="004956D3"/>
    <w:rsid w:val="004A711F"/>
    <w:rsid w:val="004B199D"/>
    <w:rsid w:val="004B4690"/>
    <w:rsid w:val="004B48B3"/>
    <w:rsid w:val="004C1B16"/>
    <w:rsid w:val="004D3970"/>
    <w:rsid w:val="004E0A2D"/>
    <w:rsid w:val="004E206B"/>
    <w:rsid w:val="004E5B1C"/>
    <w:rsid w:val="004E6DF7"/>
    <w:rsid w:val="004F0FBD"/>
    <w:rsid w:val="005009E0"/>
    <w:rsid w:val="00505A47"/>
    <w:rsid w:val="00512FDA"/>
    <w:rsid w:val="00520DA0"/>
    <w:rsid w:val="00525348"/>
    <w:rsid w:val="00537640"/>
    <w:rsid w:val="00541F9C"/>
    <w:rsid w:val="005664BB"/>
    <w:rsid w:val="00566FFA"/>
    <w:rsid w:val="00567EB6"/>
    <w:rsid w:val="0057118A"/>
    <w:rsid w:val="0057481D"/>
    <w:rsid w:val="005829E9"/>
    <w:rsid w:val="0058486E"/>
    <w:rsid w:val="00585B33"/>
    <w:rsid w:val="0059014D"/>
    <w:rsid w:val="005B5C64"/>
    <w:rsid w:val="005B6204"/>
    <w:rsid w:val="005C3FFE"/>
    <w:rsid w:val="005C5337"/>
    <w:rsid w:val="005C6BD0"/>
    <w:rsid w:val="005D1C8B"/>
    <w:rsid w:val="005D468D"/>
    <w:rsid w:val="005D4E3C"/>
    <w:rsid w:val="005D5CED"/>
    <w:rsid w:val="005F1A4C"/>
    <w:rsid w:val="00605688"/>
    <w:rsid w:val="006070AF"/>
    <w:rsid w:val="00607E6C"/>
    <w:rsid w:val="006101B1"/>
    <w:rsid w:val="00614E44"/>
    <w:rsid w:val="0062270A"/>
    <w:rsid w:val="00622830"/>
    <w:rsid w:val="00623DA0"/>
    <w:rsid w:val="0062410C"/>
    <w:rsid w:val="00630AEF"/>
    <w:rsid w:val="006325F8"/>
    <w:rsid w:val="00633463"/>
    <w:rsid w:val="00634C9A"/>
    <w:rsid w:val="006440E4"/>
    <w:rsid w:val="0065109B"/>
    <w:rsid w:val="00662200"/>
    <w:rsid w:val="0066343B"/>
    <w:rsid w:val="00664777"/>
    <w:rsid w:val="00666311"/>
    <w:rsid w:val="006748A4"/>
    <w:rsid w:val="006811A8"/>
    <w:rsid w:val="00681A31"/>
    <w:rsid w:val="00682086"/>
    <w:rsid w:val="00683E73"/>
    <w:rsid w:val="006A3141"/>
    <w:rsid w:val="006A5E34"/>
    <w:rsid w:val="006B2422"/>
    <w:rsid w:val="006B2B9A"/>
    <w:rsid w:val="006B70B4"/>
    <w:rsid w:val="006C1937"/>
    <w:rsid w:val="006C5733"/>
    <w:rsid w:val="006D1F96"/>
    <w:rsid w:val="006D347D"/>
    <w:rsid w:val="006F020C"/>
    <w:rsid w:val="006F5AE2"/>
    <w:rsid w:val="006F7432"/>
    <w:rsid w:val="00701379"/>
    <w:rsid w:val="00702882"/>
    <w:rsid w:val="00706771"/>
    <w:rsid w:val="007127B7"/>
    <w:rsid w:val="00717770"/>
    <w:rsid w:val="0071798E"/>
    <w:rsid w:val="007260D2"/>
    <w:rsid w:val="007301B5"/>
    <w:rsid w:val="007416B6"/>
    <w:rsid w:val="00746F48"/>
    <w:rsid w:val="0075404D"/>
    <w:rsid w:val="0076182A"/>
    <w:rsid w:val="00767B7E"/>
    <w:rsid w:val="00771FE7"/>
    <w:rsid w:val="007770C3"/>
    <w:rsid w:val="00783C9B"/>
    <w:rsid w:val="00784D24"/>
    <w:rsid w:val="00785FBA"/>
    <w:rsid w:val="00786E4A"/>
    <w:rsid w:val="007875EB"/>
    <w:rsid w:val="0079426B"/>
    <w:rsid w:val="007A7DF6"/>
    <w:rsid w:val="007C74DA"/>
    <w:rsid w:val="007D14D9"/>
    <w:rsid w:val="007D1682"/>
    <w:rsid w:val="007D2DEE"/>
    <w:rsid w:val="007D312A"/>
    <w:rsid w:val="007D3F19"/>
    <w:rsid w:val="007E23B0"/>
    <w:rsid w:val="007E23E5"/>
    <w:rsid w:val="007E31EC"/>
    <w:rsid w:val="007F1991"/>
    <w:rsid w:val="007F2C2F"/>
    <w:rsid w:val="007F55FC"/>
    <w:rsid w:val="007F5665"/>
    <w:rsid w:val="007F7AC2"/>
    <w:rsid w:val="00800112"/>
    <w:rsid w:val="00813348"/>
    <w:rsid w:val="008151CE"/>
    <w:rsid w:val="00815B35"/>
    <w:rsid w:val="00816155"/>
    <w:rsid w:val="008253BB"/>
    <w:rsid w:val="0083706E"/>
    <w:rsid w:val="008408F6"/>
    <w:rsid w:val="008423A5"/>
    <w:rsid w:val="00842CDE"/>
    <w:rsid w:val="00850625"/>
    <w:rsid w:val="00852D33"/>
    <w:rsid w:val="00853718"/>
    <w:rsid w:val="00855221"/>
    <w:rsid w:val="008600F6"/>
    <w:rsid w:val="00860645"/>
    <w:rsid w:val="00867628"/>
    <w:rsid w:val="00871881"/>
    <w:rsid w:val="00871F71"/>
    <w:rsid w:val="00872FD8"/>
    <w:rsid w:val="008730F4"/>
    <w:rsid w:val="00884DA2"/>
    <w:rsid w:val="00885AF4"/>
    <w:rsid w:val="008939CD"/>
    <w:rsid w:val="00896DF7"/>
    <w:rsid w:val="008A1C9E"/>
    <w:rsid w:val="008B768C"/>
    <w:rsid w:val="008C4DB1"/>
    <w:rsid w:val="008C4EAF"/>
    <w:rsid w:val="008C5176"/>
    <w:rsid w:val="008C7FD0"/>
    <w:rsid w:val="008E1DE7"/>
    <w:rsid w:val="008E436B"/>
    <w:rsid w:val="008E707C"/>
    <w:rsid w:val="00900B08"/>
    <w:rsid w:val="00902155"/>
    <w:rsid w:val="00902FA3"/>
    <w:rsid w:val="009169A1"/>
    <w:rsid w:val="00923564"/>
    <w:rsid w:val="0092392E"/>
    <w:rsid w:val="00924F60"/>
    <w:rsid w:val="009315F9"/>
    <w:rsid w:val="00933499"/>
    <w:rsid w:val="00935C98"/>
    <w:rsid w:val="009444AA"/>
    <w:rsid w:val="00946513"/>
    <w:rsid w:val="00946945"/>
    <w:rsid w:val="00951248"/>
    <w:rsid w:val="0095152F"/>
    <w:rsid w:val="00954C49"/>
    <w:rsid w:val="00955E37"/>
    <w:rsid w:val="0097099F"/>
    <w:rsid w:val="00971997"/>
    <w:rsid w:val="00971FFC"/>
    <w:rsid w:val="00974D33"/>
    <w:rsid w:val="00977B70"/>
    <w:rsid w:val="0098660A"/>
    <w:rsid w:val="009931C3"/>
    <w:rsid w:val="00994AFE"/>
    <w:rsid w:val="009A5E5E"/>
    <w:rsid w:val="009A5F0A"/>
    <w:rsid w:val="009B2C43"/>
    <w:rsid w:val="009B3A94"/>
    <w:rsid w:val="009B4EAE"/>
    <w:rsid w:val="009B7573"/>
    <w:rsid w:val="009C22F4"/>
    <w:rsid w:val="009C2A4B"/>
    <w:rsid w:val="009C2E98"/>
    <w:rsid w:val="009D10F8"/>
    <w:rsid w:val="009D1E75"/>
    <w:rsid w:val="009D3447"/>
    <w:rsid w:val="009D4711"/>
    <w:rsid w:val="009E2B04"/>
    <w:rsid w:val="009F1185"/>
    <w:rsid w:val="009F18CD"/>
    <w:rsid w:val="009F2A13"/>
    <w:rsid w:val="009F7527"/>
    <w:rsid w:val="00A030E6"/>
    <w:rsid w:val="00A04EB0"/>
    <w:rsid w:val="00A059A0"/>
    <w:rsid w:val="00A13CC1"/>
    <w:rsid w:val="00A16847"/>
    <w:rsid w:val="00A22E7F"/>
    <w:rsid w:val="00A237D8"/>
    <w:rsid w:val="00A25197"/>
    <w:rsid w:val="00A268C4"/>
    <w:rsid w:val="00A307CD"/>
    <w:rsid w:val="00A331C8"/>
    <w:rsid w:val="00A40A00"/>
    <w:rsid w:val="00A4142F"/>
    <w:rsid w:val="00A422EB"/>
    <w:rsid w:val="00A45BB7"/>
    <w:rsid w:val="00A542FA"/>
    <w:rsid w:val="00A56DF2"/>
    <w:rsid w:val="00A56E6E"/>
    <w:rsid w:val="00A67AB5"/>
    <w:rsid w:val="00A71A2B"/>
    <w:rsid w:val="00A733B2"/>
    <w:rsid w:val="00A741C2"/>
    <w:rsid w:val="00A91760"/>
    <w:rsid w:val="00A93B00"/>
    <w:rsid w:val="00A93C21"/>
    <w:rsid w:val="00AA402E"/>
    <w:rsid w:val="00AA70FD"/>
    <w:rsid w:val="00AB3CD0"/>
    <w:rsid w:val="00AB64C9"/>
    <w:rsid w:val="00AC3C6A"/>
    <w:rsid w:val="00AD302F"/>
    <w:rsid w:val="00AD3B27"/>
    <w:rsid w:val="00AD5620"/>
    <w:rsid w:val="00AD6457"/>
    <w:rsid w:val="00AD656B"/>
    <w:rsid w:val="00AD7C1B"/>
    <w:rsid w:val="00AE16BA"/>
    <w:rsid w:val="00AE1EBE"/>
    <w:rsid w:val="00AF2FBA"/>
    <w:rsid w:val="00AF5A20"/>
    <w:rsid w:val="00B03C9D"/>
    <w:rsid w:val="00B060AE"/>
    <w:rsid w:val="00B0737B"/>
    <w:rsid w:val="00B10517"/>
    <w:rsid w:val="00B13897"/>
    <w:rsid w:val="00B14E76"/>
    <w:rsid w:val="00B15C38"/>
    <w:rsid w:val="00B161B8"/>
    <w:rsid w:val="00B2048C"/>
    <w:rsid w:val="00B310B9"/>
    <w:rsid w:val="00B35F3F"/>
    <w:rsid w:val="00B3675D"/>
    <w:rsid w:val="00B36CBB"/>
    <w:rsid w:val="00B425E0"/>
    <w:rsid w:val="00B440AA"/>
    <w:rsid w:val="00B44B70"/>
    <w:rsid w:val="00B46F62"/>
    <w:rsid w:val="00B53C56"/>
    <w:rsid w:val="00B57DAF"/>
    <w:rsid w:val="00B65449"/>
    <w:rsid w:val="00B77EA6"/>
    <w:rsid w:val="00B81598"/>
    <w:rsid w:val="00B841F1"/>
    <w:rsid w:val="00B944D6"/>
    <w:rsid w:val="00B94A98"/>
    <w:rsid w:val="00B96D7F"/>
    <w:rsid w:val="00BA1F0D"/>
    <w:rsid w:val="00BB0FB7"/>
    <w:rsid w:val="00BB17C0"/>
    <w:rsid w:val="00BB305C"/>
    <w:rsid w:val="00BB4DF0"/>
    <w:rsid w:val="00BB7EDA"/>
    <w:rsid w:val="00BC1DB4"/>
    <w:rsid w:val="00BC289F"/>
    <w:rsid w:val="00BC2D50"/>
    <w:rsid w:val="00BC5361"/>
    <w:rsid w:val="00BC5460"/>
    <w:rsid w:val="00BC6B50"/>
    <w:rsid w:val="00BD0E25"/>
    <w:rsid w:val="00BD60C6"/>
    <w:rsid w:val="00BF3120"/>
    <w:rsid w:val="00BF5BD6"/>
    <w:rsid w:val="00C03E31"/>
    <w:rsid w:val="00C06054"/>
    <w:rsid w:val="00C11340"/>
    <w:rsid w:val="00C116BB"/>
    <w:rsid w:val="00C315E0"/>
    <w:rsid w:val="00C33E72"/>
    <w:rsid w:val="00C33E85"/>
    <w:rsid w:val="00C354B2"/>
    <w:rsid w:val="00C35554"/>
    <w:rsid w:val="00C42709"/>
    <w:rsid w:val="00C442B2"/>
    <w:rsid w:val="00C5277A"/>
    <w:rsid w:val="00C533CC"/>
    <w:rsid w:val="00C5751C"/>
    <w:rsid w:val="00C61BFC"/>
    <w:rsid w:val="00C62B85"/>
    <w:rsid w:val="00C65438"/>
    <w:rsid w:val="00C66A7F"/>
    <w:rsid w:val="00C66E7D"/>
    <w:rsid w:val="00C73F2C"/>
    <w:rsid w:val="00C76C5B"/>
    <w:rsid w:val="00C87FD8"/>
    <w:rsid w:val="00C91381"/>
    <w:rsid w:val="00C91CBB"/>
    <w:rsid w:val="00C93E05"/>
    <w:rsid w:val="00CA20E8"/>
    <w:rsid w:val="00CA3EA4"/>
    <w:rsid w:val="00CB3461"/>
    <w:rsid w:val="00CB4E70"/>
    <w:rsid w:val="00CC09B6"/>
    <w:rsid w:val="00CC666F"/>
    <w:rsid w:val="00CD1E3F"/>
    <w:rsid w:val="00CD2A21"/>
    <w:rsid w:val="00CE44F6"/>
    <w:rsid w:val="00CE49DA"/>
    <w:rsid w:val="00CE7B61"/>
    <w:rsid w:val="00D00095"/>
    <w:rsid w:val="00D00ACB"/>
    <w:rsid w:val="00D114F0"/>
    <w:rsid w:val="00D20620"/>
    <w:rsid w:val="00D2164F"/>
    <w:rsid w:val="00D22005"/>
    <w:rsid w:val="00D254F7"/>
    <w:rsid w:val="00D26091"/>
    <w:rsid w:val="00D2685C"/>
    <w:rsid w:val="00D34E7C"/>
    <w:rsid w:val="00D35489"/>
    <w:rsid w:val="00D36AFE"/>
    <w:rsid w:val="00D41011"/>
    <w:rsid w:val="00D51276"/>
    <w:rsid w:val="00D6248C"/>
    <w:rsid w:val="00D7035F"/>
    <w:rsid w:val="00D77C79"/>
    <w:rsid w:val="00D85438"/>
    <w:rsid w:val="00D91F50"/>
    <w:rsid w:val="00D930C3"/>
    <w:rsid w:val="00DA634F"/>
    <w:rsid w:val="00DA6418"/>
    <w:rsid w:val="00DA65AC"/>
    <w:rsid w:val="00DA741E"/>
    <w:rsid w:val="00DB1913"/>
    <w:rsid w:val="00DB1A5F"/>
    <w:rsid w:val="00DC410D"/>
    <w:rsid w:val="00DC5A81"/>
    <w:rsid w:val="00DC68CA"/>
    <w:rsid w:val="00DC7CBA"/>
    <w:rsid w:val="00DD32D7"/>
    <w:rsid w:val="00DD7329"/>
    <w:rsid w:val="00DD73B7"/>
    <w:rsid w:val="00DD7EDB"/>
    <w:rsid w:val="00DF28BC"/>
    <w:rsid w:val="00DF34B9"/>
    <w:rsid w:val="00E01053"/>
    <w:rsid w:val="00E0326F"/>
    <w:rsid w:val="00E07ACF"/>
    <w:rsid w:val="00E331A1"/>
    <w:rsid w:val="00E33202"/>
    <w:rsid w:val="00E336A9"/>
    <w:rsid w:val="00E419B5"/>
    <w:rsid w:val="00E4417C"/>
    <w:rsid w:val="00E472B1"/>
    <w:rsid w:val="00E50624"/>
    <w:rsid w:val="00E568DF"/>
    <w:rsid w:val="00E64269"/>
    <w:rsid w:val="00E67AB7"/>
    <w:rsid w:val="00E82267"/>
    <w:rsid w:val="00E84E4B"/>
    <w:rsid w:val="00E853CE"/>
    <w:rsid w:val="00E867B6"/>
    <w:rsid w:val="00EA010F"/>
    <w:rsid w:val="00EA1492"/>
    <w:rsid w:val="00ED1B63"/>
    <w:rsid w:val="00ED3C1F"/>
    <w:rsid w:val="00ED4085"/>
    <w:rsid w:val="00ED420E"/>
    <w:rsid w:val="00ED6FBE"/>
    <w:rsid w:val="00EE2F57"/>
    <w:rsid w:val="00EF1525"/>
    <w:rsid w:val="00EF4C34"/>
    <w:rsid w:val="00EF77C6"/>
    <w:rsid w:val="00F05438"/>
    <w:rsid w:val="00F060B0"/>
    <w:rsid w:val="00F0752F"/>
    <w:rsid w:val="00F1361C"/>
    <w:rsid w:val="00F156F0"/>
    <w:rsid w:val="00F158C7"/>
    <w:rsid w:val="00F160C7"/>
    <w:rsid w:val="00F2408F"/>
    <w:rsid w:val="00F240E9"/>
    <w:rsid w:val="00F26492"/>
    <w:rsid w:val="00F36D8F"/>
    <w:rsid w:val="00F417B1"/>
    <w:rsid w:val="00F45853"/>
    <w:rsid w:val="00F602DF"/>
    <w:rsid w:val="00F727C6"/>
    <w:rsid w:val="00F754A1"/>
    <w:rsid w:val="00F81FD9"/>
    <w:rsid w:val="00F841AA"/>
    <w:rsid w:val="00F84A94"/>
    <w:rsid w:val="00F87E96"/>
    <w:rsid w:val="00FA23E8"/>
    <w:rsid w:val="00FB740A"/>
    <w:rsid w:val="00FD3CC1"/>
    <w:rsid w:val="00FF0E35"/>
    <w:rsid w:val="00FF1E02"/>
    <w:rsid w:val="00FF2057"/>
    <w:rsid w:val="00FF30B4"/>
    <w:rsid w:val="0A2032A3"/>
    <w:rsid w:val="10C055FF"/>
    <w:rsid w:val="118107EC"/>
    <w:rsid w:val="13E0649A"/>
    <w:rsid w:val="15CC0A2F"/>
    <w:rsid w:val="16BB723D"/>
    <w:rsid w:val="17301154"/>
    <w:rsid w:val="1C0E7688"/>
    <w:rsid w:val="1D155CEE"/>
    <w:rsid w:val="226A1C9D"/>
    <w:rsid w:val="240371BF"/>
    <w:rsid w:val="29FD04D3"/>
    <w:rsid w:val="2B9F7FC8"/>
    <w:rsid w:val="2D773796"/>
    <w:rsid w:val="2DBA1F5C"/>
    <w:rsid w:val="319F7F4E"/>
    <w:rsid w:val="35F5D066"/>
    <w:rsid w:val="36D6015B"/>
    <w:rsid w:val="36FE2130"/>
    <w:rsid w:val="37703372"/>
    <w:rsid w:val="39691D3E"/>
    <w:rsid w:val="39F173CB"/>
    <w:rsid w:val="3DEF9ADC"/>
    <w:rsid w:val="415A0D72"/>
    <w:rsid w:val="45342A27"/>
    <w:rsid w:val="45490302"/>
    <w:rsid w:val="45AA4335"/>
    <w:rsid w:val="4BE068DB"/>
    <w:rsid w:val="4ECE2238"/>
    <w:rsid w:val="4F5F4FC6"/>
    <w:rsid w:val="4F772D23"/>
    <w:rsid w:val="5763292E"/>
    <w:rsid w:val="57E7B0FD"/>
    <w:rsid w:val="57FE1F68"/>
    <w:rsid w:val="59FF36C6"/>
    <w:rsid w:val="5DDFFE7B"/>
    <w:rsid w:val="5E5E73AF"/>
    <w:rsid w:val="5EAF3ED7"/>
    <w:rsid w:val="5FB686AF"/>
    <w:rsid w:val="5FF7B70E"/>
    <w:rsid w:val="61046E10"/>
    <w:rsid w:val="620A242F"/>
    <w:rsid w:val="6BE7FAFE"/>
    <w:rsid w:val="6C4A05C8"/>
    <w:rsid w:val="6DD71E38"/>
    <w:rsid w:val="6EFEB0B4"/>
    <w:rsid w:val="6FFA768A"/>
    <w:rsid w:val="713D1A51"/>
    <w:rsid w:val="72734D90"/>
    <w:rsid w:val="73CA1675"/>
    <w:rsid w:val="7707990D"/>
    <w:rsid w:val="779BCB2F"/>
    <w:rsid w:val="78F52AAF"/>
    <w:rsid w:val="79F3D2FD"/>
    <w:rsid w:val="7AFB9131"/>
    <w:rsid w:val="7CBB560F"/>
    <w:rsid w:val="7D9F1B09"/>
    <w:rsid w:val="7E7E414A"/>
    <w:rsid w:val="7FE55E86"/>
    <w:rsid w:val="7FEFDD02"/>
    <w:rsid w:val="8A6FE3D0"/>
    <w:rsid w:val="8B6C6564"/>
    <w:rsid w:val="8FFE9F48"/>
    <w:rsid w:val="9C7BC40E"/>
    <w:rsid w:val="A7FE23B9"/>
    <w:rsid w:val="BF7E0AC1"/>
    <w:rsid w:val="D7BBA34D"/>
    <w:rsid w:val="D7DE54C0"/>
    <w:rsid w:val="D7FB4A6C"/>
    <w:rsid w:val="DD3F5129"/>
    <w:rsid w:val="DF7F1A89"/>
    <w:rsid w:val="EDFDD78F"/>
    <w:rsid w:val="F35E21AB"/>
    <w:rsid w:val="F76B8B38"/>
    <w:rsid w:val="F83FCC12"/>
    <w:rsid w:val="FF3B18A4"/>
    <w:rsid w:val="FF5B27D9"/>
    <w:rsid w:val="FF7E3CBD"/>
    <w:rsid w:val="FFB7E60E"/>
    <w:rsid w:val="FFFDAB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99"/>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2020&#24180;&#20915;&#31639;&#22270;&#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2020&#24180;&#20915;&#31639;&#22270;&#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ovo\Desktop\2020&#24180;&#20915;&#31639;&#22270;&#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enovo\Desktop\2020&#24180;&#20915;&#31639;&#22270;&#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enovo\Desktop\2020&#24180;&#20915;&#31639;&#22270;&#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enovo\Desktop\2020&#24180;&#20915;&#31639;&#22270;&#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lenovo\Desktop\2020&#24180;&#20915;&#31639;&#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invertIfNegative val="false"/>
          <c:dLbls>
            <c:dLbl>
              <c:idx val="0"/>
              <c:layout/>
              <c:dLblPos val="outEnd"/>
              <c:showLegendKey val="false"/>
              <c:showVal val="true"/>
              <c:showCatName val="false"/>
              <c:showSerName val="false"/>
              <c:showPercent val="false"/>
              <c:showBubbleSize val="false"/>
              <c:extLst>
                <c:ext xmlns:c15="http://schemas.microsoft.com/office/drawing/2012/chart" uri="{CE6537A1-D6FC-4f65-9D91-7224C49458BB}"/>
              </c:extLst>
            </c:dLbl>
            <c:dLbl>
              <c:idx val="1"/>
              <c:layout/>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Sheet1!$A$1:$B$1</c:f>
              <c:strCache>
                <c:ptCount val="2"/>
                <c:pt idx="0">
                  <c:v>2020年（万元）</c:v>
                </c:pt>
                <c:pt idx="1">
                  <c:v>2019年（万元）</c:v>
                </c:pt>
              </c:strCache>
            </c:strRef>
          </c:cat>
          <c:val>
            <c:numRef>
              <c:f>Sheet1!$A$2:$B$2</c:f>
              <c:numCache>
                <c:formatCode>General</c:formatCode>
                <c:ptCount val="2"/>
                <c:pt idx="0">
                  <c:v>693.24</c:v>
                </c:pt>
                <c:pt idx="1">
                  <c:v>833.14</c:v>
                </c:pt>
              </c:numCache>
            </c:numRef>
          </c:val>
        </c:ser>
        <c:dLbls>
          <c:showLegendKey val="false"/>
          <c:showVal val="false"/>
          <c:showCatName val="false"/>
          <c:showSerName val="false"/>
          <c:showPercent val="false"/>
          <c:showBubbleSize val="false"/>
        </c:dLbls>
        <c:gapWidth val="150"/>
        <c:axId val="116749440"/>
        <c:axId val="116750976"/>
      </c:barChart>
      <c:catAx>
        <c:axId val="116749440"/>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16750976"/>
        <c:crosses val="autoZero"/>
        <c:auto val="true"/>
        <c:lblAlgn val="ctr"/>
        <c:lblOffset val="100"/>
        <c:noMultiLvlLbl val="false"/>
      </c:catAx>
      <c:valAx>
        <c:axId val="116750976"/>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16749440"/>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explosion val="0"/>
          <c:dPt>
            <c:idx val="0"/>
            <c:bubble3D val="false"/>
          </c:dPt>
          <c:dPt>
            <c:idx val="1"/>
            <c:bubble3D val="false"/>
          </c:dPt>
          <c:dPt>
            <c:idx val="2"/>
            <c:bubble3D val="false"/>
          </c:dPt>
          <c:dPt>
            <c:idx val="3"/>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Sheet2!$A$1:$A$4</c:f>
              <c:strCache>
                <c:ptCount val="4"/>
                <c:pt idx="0">
                  <c:v>2020年收入情况</c:v>
                </c:pt>
                <c:pt idx="1">
                  <c:v>一般公共预算财政拨款收入</c:v>
                </c:pt>
                <c:pt idx="2">
                  <c:v>其他收入</c:v>
                </c:pt>
                <c:pt idx="3">
                  <c:v>合计</c:v>
                </c:pt>
              </c:strCache>
            </c:strRef>
          </c:cat>
          <c:val>
            <c:numRef>
              <c:f>Sheet2!$B$1:$B$4</c:f>
              <c:numCache>
                <c:formatCode>General</c:formatCode>
                <c:ptCount val="4"/>
                <c:pt idx="1">
                  <c:v>689.1</c:v>
                </c:pt>
                <c:pt idx="2">
                  <c:v>4.14</c:v>
                </c:pt>
                <c:pt idx="3">
                  <c:v>693.24</c:v>
                </c:pt>
              </c:numCache>
            </c:numRef>
          </c:val>
        </c:ser>
        <c:dLbls>
          <c:showLegendKey val="false"/>
          <c:showVal val="true"/>
          <c:showCatName val="false"/>
          <c:showSerName val="false"/>
          <c:showPercent val="fals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Sheet3!$B$1:$B$2</c:f>
              <c:strCache>
                <c:ptCount val="1"/>
                <c:pt idx="0">
                  <c:v>2020年支出情况 金额(万元)</c:v>
                </c:pt>
              </c:strCache>
            </c:strRef>
          </c:tx>
          <c:explosion val="25"/>
          <c:dPt>
            <c:idx val="0"/>
            <c:bubble3D val="false"/>
          </c:dPt>
          <c:dPt>
            <c:idx val="1"/>
            <c:bubble3D val="false"/>
          </c:dPt>
          <c:dPt>
            <c:idx val="2"/>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Sheet3!$A$3:$A$5</c:f>
              <c:strCache>
                <c:ptCount val="3"/>
                <c:pt idx="0">
                  <c:v>基本支出</c:v>
                </c:pt>
                <c:pt idx="1">
                  <c:v>项目支出</c:v>
                </c:pt>
                <c:pt idx="2">
                  <c:v>合计</c:v>
                </c:pt>
              </c:strCache>
            </c:strRef>
          </c:cat>
          <c:val>
            <c:numRef>
              <c:f>Sheet3!$B$3:$B$5</c:f>
              <c:numCache>
                <c:formatCode>General</c:formatCode>
                <c:ptCount val="3"/>
                <c:pt idx="0">
                  <c:v>242.31</c:v>
                </c:pt>
                <c:pt idx="1">
                  <c:v>450.929999999999</c:v>
                </c:pt>
                <c:pt idx="2">
                  <c:v>693.24</c:v>
                </c:pt>
              </c:numCache>
            </c:numRef>
          </c:val>
        </c:ser>
        <c:dLbls>
          <c:showLegendKey val="false"/>
          <c:showVal val="tru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barChart>
        <c:barDir val="col"/>
        <c:grouping val="clustered"/>
        <c:varyColors val="false"/>
        <c:ser>
          <c:idx val="0"/>
          <c:order val="0"/>
          <c:tx>
            <c:strRef>
              <c:f>Sheet4!$B$1:$B$3</c:f>
              <c:strCache>
                <c:ptCount val="1"/>
                <c:pt idx="0">
                  <c:v>财政拨款收、支决算总计变动情况 金额(万元)</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Sheet4!$A$4:$A$5</c:f>
              <c:strCache>
                <c:ptCount val="2"/>
                <c:pt idx="0">
                  <c:v>2019年</c:v>
                </c:pt>
                <c:pt idx="1">
                  <c:v>2020年</c:v>
                </c:pt>
              </c:strCache>
            </c:strRef>
          </c:cat>
          <c:val>
            <c:numRef>
              <c:f>Sheet4!$B$4:$B$5</c:f>
              <c:numCache>
                <c:formatCode>General</c:formatCode>
                <c:ptCount val="2"/>
                <c:pt idx="0">
                  <c:v>830.38</c:v>
                </c:pt>
                <c:pt idx="1">
                  <c:v>689.1</c:v>
                </c:pt>
              </c:numCache>
            </c:numRef>
          </c:val>
        </c:ser>
        <c:dLbls>
          <c:showLegendKey val="false"/>
          <c:showVal val="true"/>
          <c:showCatName val="false"/>
          <c:showSerName val="false"/>
          <c:showPercent val="false"/>
          <c:showBubbleSize val="false"/>
        </c:dLbls>
        <c:gapWidth val="150"/>
        <c:axId val="93510656"/>
        <c:axId val="93516544"/>
      </c:barChart>
      <c:catAx>
        <c:axId val="93510656"/>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93516544"/>
        <c:crosses val="autoZero"/>
        <c:auto val="true"/>
        <c:lblAlgn val="ctr"/>
        <c:lblOffset val="100"/>
        <c:noMultiLvlLbl val="false"/>
      </c:catAx>
      <c:valAx>
        <c:axId val="93516544"/>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93510656"/>
        <c:crosses val="autoZero"/>
        <c:crossBetween val="between"/>
      </c:valAx>
      <c:spPr>
        <a:solidFill>
          <a:schemeClr val="bg1"/>
        </a:solid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barChart>
        <c:barDir val="col"/>
        <c:grouping val="clustered"/>
        <c:varyColors val="false"/>
        <c:ser>
          <c:idx val="0"/>
          <c:order val="0"/>
          <c:tx>
            <c:strRef>
              <c:f>Sheet5!$B$1:$B$2</c:f>
              <c:strCache>
                <c:ptCount val="1"/>
                <c:pt idx="0">
                  <c:v>一般公共预算财政拨款支出决算变动情况 金额(万元)</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Sheet5!$A$3:$A$4</c:f>
              <c:strCache>
                <c:ptCount val="2"/>
                <c:pt idx="0">
                  <c:v>2019年</c:v>
                </c:pt>
                <c:pt idx="1">
                  <c:v>2020年</c:v>
                </c:pt>
              </c:strCache>
            </c:strRef>
          </c:cat>
          <c:val>
            <c:numRef>
              <c:f>Sheet5!$B$3:$B$4</c:f>
              <c:numCache>
                <c:formatCode>General</c:formatCode>
                <c:ptCount val="2"/>
                <c:pt idx="0">
                  <c:v>830.38</c:v>
                </c:pt>
                <c:pt idx="1">
                  <c:v>689.1</c:v>
                </c:pt>
              </c:numCache>
            </c:numRef>
          </c:val>
        </c:ser>
        <c:dLbls>
          <c:showLegendKey val="false"/>
          <c:showVal val="true"/>
          <c:showCatName val="false"/>
          <c:showSerName val="false"/>
          <c:showPercent val="false"/>
          <c:showBubbleSize val="false"/>
        </c:dLbls>
        <c:gapWidth val="150"/>
        <c:axId val="116671232"/>
        <c:axId val="116672768"/>
      </c:barChart>
      <c:catAx>
        <c:axId val="116671232"/>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16672768"/>
        <c:crosses val="autoZero"/>
        <c:auto val="true"/>
        <c:lblAlgn val="ctr"/>
        <c:lblOffset val="100"/>
        <c:noMultiLvlLbl val="false"/>
      </c:catAx>
      <c:valAx>
        <c:axId val="116672768"/>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16671232"/>
        <c:crosses val="autoZero"/>
        <c:crossBetween val="between"/>
      </c:valAx>
      <c:spPr>
        <a:solidFill>
          <a:schemeClr val="bg1"/>
        </a:solid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Sheet6!$B$1:$B$3</c:f>
              <c:strCache>
                <c:ptCount val="1"/>
                <c:pt idx="0">
                  <c:v>一般公共预算财政拨款支出决算结构 金额（万元）</c:v>
                </c:pt>
              </c:strCache>
            </c:strRef>
          </c:tx>
          <c:explosion val="25"/>
          <c:dPt>
            <c:idx val="0"/>
            <c:bubble3D val="false"/>
          </c:dPt>
          <c:dPt>
            <c:idx val="1"/>
            <c:bubble3D val="false"/>
          </c:dPt>
          <c:dPt>
            <c:idx val="2"/>
            <c:bubble3D val="false"/>
          </c:dPt>
          <c:dPt>
            <c:idx val="3"/>
            <c:bubble3D val="false"/>
          </c:dPt>
          <c:dPt>
            <c:idx val="4"/>
            <c:bubble3D val="false"/>
          </c:dPt>
          <c:dPt>
            <c:idx val="5"/>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Sheet6!$A$4:$A$9</c:f>
              <c:strCache>
                <c:ptCount val="6"/>
                <c:pt idx="0">
                  <c:v>一般公共服务（类）支出</c:v>
                </c:pt>
                <c:pt idx="1">
                  <c:v>科学技术（类）支出</c:v>
                </c:pt>
                <c:pt idx="2">
                  <c:v>社会保障和就业（类）支出</c:v>
                </c:pt>
                <c:pt idx="3">
                  <c:v>卫生健康支出</c:v>
                </c:pt>
                <c:pt idx="4">
                  <c:v>住房保障支出</c:v>
                </c:pt>
                <c:pt idx="5">
                  <c:v>合计</c:v>
                </c:pt>
              </c:strCache>
            </c:strRef>
          </c:cat>
          <c:val>
            <c:numRef>
              <c:f>Sheet6!$B$4:$B$9</c:f>
              <c:numCache>
                <c:formatCode>General</c:formatCode>
                <c:ptCount val="6"/>
                <c:pt idx="0">
                  <c:v>617.439999999999</c:v>
                </c:pt>
                <c:pt idx="1">
                  <c:v>8.33</c:v>
                </c:pt>
                <c:pt idx="2">
                  <c:v>37.21</c:v>
                </c:pt>
                <c:pt idx="3">
                  <c:v>11.19</c:v>
                </c:pt>
                <c:pt idx="4">
                  <c:v>14.93</c:v>
                </c:pt>
                <c:pt idx="5">
                  <c:v>689.1</c:v>
                </c:pt>
              </c:numCache>
            </c:numRef>
          </c:val>
        </c:ser>
        <c:dLbls>
          <c:showLegendKey val="false"/>
          <c:showVal val="true"/>
          <c:showCatName val="false"/>
          <c:showSerName val="false"/>
          <c:showPercent val="fals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ofPieChart>
        <c:ofPieType val="bar"/>
        <c:varyColors val="true"/>
        <c:ser>
          <c:idx val="0"/>
          <c:order val="0"/>
          <c:tx>
            <c:strRef>
              <c:f>Sheet7!$B$1:$B$3</c:f>
              <c:strCache>
                <c:ptCount val="1"/>
                <c:pt idx="0">
                  <c:v>“三公”经费财政拨款支出 金额（万元）</c:v>
                </c:pt>
              </c:strCache>
            </c:strRef>
          </c:tx>
          <c:explosion val="25"/>
          <c:dPt>
            <c:idx val="0"/>
            <c:bubble3D val="false"/>
          </c:dPt>
          <c:dPt>
            <c:idx val="1"/>
            <c:bubble3D val="false"/>
          </c:dPt>
          <c:dPt>
            <c:idx val="2"/>
            <c:bubble3D val="false"/>
          </c:dPt>
          <c:dPt>
            <c:idx val="3"/>
            <c:bubble3D val="false"/>
          </c:dPt>
          <c:dPt>
            <c:idx val="4"/>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Sheet7!$A$4:$A$7</c:f>
              <c:strCache>
                <c:ptCount val="4"/>
                <c:pt idx="0">
                  <c:v>因公出国（境）费</c:v>
                </c:pt>
                <c:pt idx="1">
                  <c:v>公务用车购置及运行维护费</c:v>
                </c:pt>
                <c:pt idx="2">
                  <c:v>公务接待费</c:v>
                </c:pt>
                <c:pt idx="3">
                  <c:v>合计</c:v>
                </c:pt>
              </c:strCache>
            </c:strRef>
          </c:cat>
          <c:val>
            <c:numRef>
              <c:f>Sheet7!$B$4:$B$7</c:f>
              <c:numCache>
                <c:formatCode>General</c:formatCode>
                <c:ptCount val="4"/>
                <c:pt idx="0">
                  <c:v>0</c:v>
                </c:pt>
                <c:pt idx="1">
                  <c:v>6.59</c:v>
                </c:pt>
                <c:pt idx="2">
                  <c:v>0</c:v>
                </c:pt>
                <c:pt idx="3">
                  <c:v>6.59</c:v>
                </c:pt>
              </c:numCache>
            </c:numRef>
          </c:val>
        </c:ser>
        <c:dLbls>
          <c:showLegendKey val="false"/>
          <c:showVal val="false"/>
          <c:showCatName val="true"/>
          <c:showSerName val="false"/>
          <c:showPercent val="true"/>
          <c:showBubbleSize val="false"/>
          <c:showLeaderLines val="true"/>
        </c:dLbls>
        <c:gapWidth val="150"/>
        <c:secondPieSize val="75"/>
        <c:serLines/>
      </c:ofPieChart>
    </c:plotArea>
    <c:plotVisOnly val="true"/>
    <c:dispBlanksAs val="zero"/>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26</Pages>
  <Words>1503</Words>
  <Characters>8573</Characters>
  <Lines>71</Lines>
  <Paragraphs>20</Paragraphs>
  <TotalTime>2</TotalTime>
  <ScaleCrop>false</ScaleCrop>
  <LinksUpToDate>false</LinksUpToDate>
  <CharactersWithSpaces>10056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2021-08-22T20:49:00Z</dcterms:created>
  <dc:creator>曹颖</dc:creator>
  <cp:lastModifiedBy>王莉</cp:lastModifiedBy>
  <cp:lastPrinted>2022-11-11T14:53:09Z</cp:lastPrinted>
  <dcterms:modified xsi:type="dcterms:W3CDTF">2022-11-11T14:53:40Z</dcterms:modified>
  <dc:title>四川省***</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3C542670297E46D7B51040D446FACCFC</vt:lpwstr>
  </property>
</Properties>
</file>